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Организация внеурочной деятельности по информатике</w:t>
            </w:r>
          </w:p>
        </w:tc>
      </w:tr>
      <w:tr>
        <w:trPr>
          <w:trHeight w:hRule="exact" w:val="972.4049"/>
        </w:trPr>
        <w:tc>
          <w:tcPr>
            <w:tcW w:w="6096" w:type="dxa"/>
          </w:tcPr>
          <w:p/>
        </w:tc>
        <w:tc>
          <w:tcPr>
            <w:tcW w:w="4679" w:type="dxa"/>
          </w:tcPr>
          <w:p/>
        </w:tc>
      </w:tr>
      <w:tr>
        <w:trPr>
          <w:trHeight w:hRule="exact" w:val="995.6307"/>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44.04.01 Педагогическое образование</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44.04.01.15 Информатика. Цифровая трансформация образования</w:t>
            </w:r>
          </w:p>
        </w:tc>
      </w:tr>
      <w:tr>
        <w:trPr>
          <w:trHeight w:hRule="exact" w:val="3699.697"/>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Магистр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581"/>
        <w:gridCol w:w="581"/>
        <w:gridCol w:w="581"/>
        <w:gridCol w:w="396"/>
        <w:gridCol w:w="185"/>
        <w:gridCol w:w="1091"/>
        <w:gridCol w:w="3827"/>
        <w:gridCol w:w="709"/>
        <w:gridCol w:w="284"/>
      </w:tblGrid>
      <w:tr>
        <w:trPr>
          <w:trHeight w:hRule="exact" w:val="555.66"/>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86" w:type="dxa"/>
          </w:tcPr>
          <w:p/>
        </w:tc>
        <w:tc>
          <w:tcPr>
            <w:tcW w:w="1092"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1092"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информатики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1092" w:type="dxa"/>
          </w:tcPr>
          <w:p/>
        </w:tc>
        <w:tc>
          <w:tcPr>
            <w:tcW w:w="3828" w:type="dxa"/>
          </w:tcPr>
          <w:p/>
        </w:tc>
        <w:tc>
          <w:tcPr>
            <w:tcW w:w="710" w:type="dxa"/>
          </w:tcPr>
          <w:p/>
        </w:tc>
        <w:tc>
          <w:tcPr>
            <w:tcW w:w="285" w:type="dxa"/>
          </w:tcPr>
          <w:p/>
        </w:tc>
      </w:tr>
      <w:tr>
        <w:trPr>
          <w:trHeight w:hRule="exact" w:val="279.5941"/>
        </w:trPr>
        <w:tc>
          <w:tcPr>
            <w:tcW w:w="143" w:type="dxa"/>
          </w:tcPr>
          <w:p/>
        </w:tc>
        <w:tc>
          <w:tcPr>
            <w:tcW w:w="4735.8" w:type="dxa"/>
            <w:gridSpan w:val="8"/>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1092"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1176.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w:t>
            </w:r>
          </w:p>
        </w:tc>
        <w:tc>
          <w:tcPr>
            <w:tcW w:w="1176.9"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1092"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176.9"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092"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1092"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1092"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1092"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24</w:t>
            </w:r>
          </w:p>
        </w:tc>
        <w:tc>
          <w:tcPr>
            <w:tcW w:w="1092"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1092"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595.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154" w:type="dxa"/>
              <w:right w:w="154"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1092" w:type="dxa"/>
          </w:tcPr>
          <w:p/>
        </w:tc>
        <w:tc>
          <w:tcPr>
            <w:tcW w:w="3828" w:type="dxa"/>
          </w:tcPr>
          <w:p/>
        </w:tc>
        <w:tc>
          <w:tcPr>
            <w:tcW w:w="710" w:type="dxa"/>
          </w:tcPr>
          <w:p/>
        </w:tc>
        <w:tc>
          <w:tcPr>
            <w:tcW w:w="285" w:type="dxa"/>
          </w:tcPr>
          <w:p/>
        </w:tc>
      </w:tr>
      <w:tr>
        <w:trPr>
          <w:trHeight w:hRule="exact" w:val="1235.388"/>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1092"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582" w:type="dxa"/>
          </w:tcPr>
          <w:p/>
        </w:tc>
        <w:tc>
          <w:tcPr>
            <w:tcW w:w="582" w:type="dxa"/>
          </w:tcPr>
          <w:p/>
        </w:tc>
        <w:tc>
          <w:tcPr>
            <w:tcW w:w="582" w:type="dxa"/>
          </w:tcPr>
          <w:p/>
        </w:tc>
        <w:tc>
          <w:tcPr>
            <w:tcW w:w="397" w:type="dxa"/>
          </w:tcPr>
          <w:p/>
        </w:tc>
        <w:tc>
          <w:tcPr>
            <w:tcW w:w="186" w:type="dxa"/>
          </w:tcPr>
          <w:p/>
        </w:tc>
        <w:tc>
          <w:tcPr>
            <w:tcW w:w="1092"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техн. наук, Доц., Фирсова С.А.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Тюшнякова И. 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79.59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навыков организации внеурочной деятельности в образовательной организации</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ОПК-1.1:Знает и понимает приоритетные направления и тенденции развития отечественной системы образова-ния, нормативные основания (законы, правовые акты и др.), регламентирующие ее деятельность</w:t>
            </w:r>
          </w:p>
        </w:tc>
      </w:tr>
      <w:tr>
        <w:trPr>
          <w:trHeight w:hRule="exact" w:val="697.808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ОПК-1.2:Применяет основные нормативные правовые акты в системе образования и профессиональной деятельно- сти с учетом норм профессиональной этики, учиты-вает актуальные проблемы в сфере образования с целью оптимизации профессиональной деятельности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ОПК-1.3:Осуществляет профессиональную деятельность на основе правовых, нравственных и этических норм, требований профессиональной этики</w:t>
            </w:r>
          </w:p>
        </w:tc>
      </w:tr>
      <w:tr>
        <w:trPr>
          <w:trHeight w:hRule="exact" w:val="478.044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ОПК-2.1:Знает и понимает структуру, логику и алгоритм про-ектирования основных и дополнительных образова- тельных программ в соответствии с нормативными правовыми актами в сфере образования</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ОПК-2.2:Готов разрабатывать методическое обеспечение обра-зовательных программ и организовывать деятель- ность субъектов образования, обеспечивающих каче-ство образовательных результатов</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ОПК-3.1:Проектирует организацию совместной учебной и воспитательной деятельности обучающихся, в том числе с особыми образовательными потребностями на основе взаимодействия с другими специалистами при реализации образовательного процесса</w:t>
            </w:r>
          </w:p>
        </w:tc>
      </w:tr>
      <w:tr>
        <w:trPr>
          <w:trHeight w:hRule="exact" w:val="478.043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ОПК-3.2:Готов оказывать адресную помощь обучающимся с учетом их индивидуальных образовательных потребностей на соответствующем уровне образования</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ПКО-2.1:Проектирует образовательный процесс в образовательных организациях</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ПКО-2.2:Оценивает эффективность организации образовательного процесса в образовательной организации</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79.59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нормативные правовые акты в сфере образования и нормы профессиональной этики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606.26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p>
            <w:pPr>
              <w:jc w:val="left"/>
              <w:spacing w:after="0" w:line="240" w:lineRule="auto"/>
              <w:rPr>
                <w:sz w:val="19"/>
                <w:szCs w:val="19"/>
              </w:rPr>
            </w:pPr>
            <w:r>
              <w:rPr>
                <w:rFonts w:ascii="Times New Roman" w:hAnsi="Times New Roman" w:cs="Times New Roman"/>
                <w:color w:val="#000000"/>
                <w:sz w:val="19"/>
                <w:szCs w:val="19"/>
              </w:rPr>
              <w:t> проектировать основные и дополнительные образовательные программы и разрабатывать научно-методическое обеспечение их реализации</w:t>
            </w:r>
          </w:p>
          <w:p>
            <w:pPr>
              <w:jc w:val="left"/>
              <w:spacing w:after="0" w:line="240" w:lineRule="auto"/>
              <w:rPr>
                <w:sz w:val="19"/>
                <w:szCs w:val="19"/>
              </w:rPr>
            </w:pPr>
            <w:r>
              <w:rPr>
                <w:rFonts w:ascii="Times New Roman" w:hAnsi="Times New Roman" w:cs="Times New Roman"/>
                <w:color w:val="#000000"/>
                <w:sz w:val="19"/>
                <w:szCs w:val="19"/>
              </w:rPr>
              <w:t>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p>
            <w:pPr>
              <w:jc w:val="left"/>
              <w:spacing w:after="0" w:line="240" w:lineRule="auto"/>
              <w:rPr>
                <w:sz w:val="19"/>
                <w:szCs w:val="19"/>
              </w:rPr>
            </w:pPr>
            <w:r>
              <w:rPr>
                <w:rFonts w:ascii="Times New Roman" w:hAnsi="Times New Roman" w:cs="Times New Roman"/>
                <w:color w:val="#000000"/>
                <w:sz w:val="19"/>
                <w:szCs w:val="19"/>
              </w:rPr>
              <w:t> проектировать и организовывать образовательный процесс в образовательных организациях различных уровней и типов</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79.593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организации образовательного процесса в образовательных организациях различных уровней и типов</w:t>
            </w:r>
          </w:p>
        </w:tc>
      </w:tr>
      <w:tr>
        <w:trPr>
          <w:trHeight w:hRule="exact" w:val="277.8304"/>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Раздел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внеурочной деятельности. Виды и направления</w:t>
            </w:r>
          </w:p>
          <w:p>
            <w:pPr>
              <w:jc w:val="left"/>
              <w:spacing w:after="0" w:line="240" w:lineRule="auto"/>
              <w:rPr>
                <w:sz w:val="19"/>
                <w:szCs w:val="19"/>
              </w:rPr>
            </w:pPr>
            <w:r>
              <w:rPr>
                <w:rFonts w:ascii="Times New Roman" w:hAnsi="Times New Roman" w:cs="Times New Roman"/>
                <w:color w:val="#000000"/>
                <w:sz w:val="19"/>
                <w:szCs w:val="19"/>
              </w:rPr>
              <w:t> внеурочной деятельности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ОПК-1.2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внеурочной деятельности. Виды и направления</w:t>
            </w:r>
          </w:p>
          <w:p>
            <w:pPr>
              <w:jc w:val="left"/>
              <w:spacing w:after="0" w:line="240" w:lineRule="auto"/>
              <w:rPr>
                <w:sz w:val="19"/>
                <w:szCs w:val="19"/>
              </w:rPr>
            </w:pPr>
            <w:r>
              <w:rPr>
                <w:rFonts w:ascii="Times New Roman" w:hAnsi="Times New Roman" w:cs="Times New Roman"/>
                <w:color w:val="#000000"/>
                <w:sz w:val="19"/>
                <w:szCs w:val="19"/>
              </w:rPr>
              <w:t> внеурочной деятельности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843"/>
        <w:gridCol w:w="142"/>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организации внеурочной деятельности в</w:t>
            </w:r>
          </w:p>
          <w:p>
            <w:pPr>
              <w:jc w:val="left"/>
              <w:spacing w:after="0" w:line="240" w:lineRule="auto"/>
              <w:rPr>
                <w:sz w:val="19"/>
                <w:szCs w:val="19"/>
              </w:rPr>
            </w:pPr>
            <w:r>
              <w:rPr>
                <w:rFonts w:ascii="Times New Roman" w:hAnsi="Times New Roman" w:cs="Times New Roman"/>
                <w:color w:val="#000000"/>
                <w:sz w:val="19"/>
                <w:szCs w:val="19"/>
              </w:rPr>
              <w:t> области информатики в начальной школе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организации внеклассной деятельности студентов в</w:t>
            </w:r>
          </w:p>
          <w:p>
            <w:pPr>
              <w:jc w:val="left"/>
              <w:spacing w:after="0" w:line="240" w:lineRule="auto"/>
              <w:rPr>
                <w:sz w:val="19"/>
                <w:szCs w:val="19"/>
              </w:rPr>
            </w:pPr>
            <w:r>
              <w:rPr>
                <w:rFonts w:ascii="Times New Roman" w:hAnsi="Times New Roman" w:cs="Times New Roman"/>
                <w:color w:val="#000000"/>
                <w:sz w:val="19"/>
                <w:szCs w:val="19"/>
              </w:rPr>
              <w:t> области информатики в начальной школе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организации внеурочной деятельности школьников по</w:t>
            </w:r>
          </w:p>
          <w:p>
            <w:pPr>
              <w:jc w:val="left"/>
              <w:spacing w:after="0" w:line="240" w:lineRule="auto"/>
              <w:rPr>
                <w:sz w:val="19"/>
                <w:szCs w:val="19"/>
              </w:rPr>
            </w:pPr>
            <w:r>
              <w:rPr>
                <w:rFonts w:ascii="Times New Roman" w:hAnsi="Times New Roman" w:cs="Times New Roman"/>
                <w:color w:val="#000000"/>
                <w:sz w:val="19"/>
                <w:szCs w:val="19"/>
              </w:rPr>
              <w:t> информатике в основной школе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Особенности организации внеурочной деятельности школьников по</w:t>
            </w:r>
          </w:p>
          <w:p>
            <w:pPr>
              <w:jc w:val="left"/>
              <w:spacing w:after="0" w:line="240" w:lineRule="auto"/>
              <w:rPr>
                <w:sz w:val="19"/>
                <w:szCs w:val="19"/>
              </w:rPr>
            </w:pPr>
            <w:r>
              <w:rPr>
                <w:rFonts w:ascii="Times New Roman" w:hAnsi="Times New Roman" w:cs="Times New Roman"/>
                <w:color w:val="#000000"/>
                <w:sz w:val="19"/>
                <w:szCs w:val="19"/>
              </w:rPr>
              <w:t> информатике в основной школе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Этапы организации внеурочной деятельности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Создание РП по курсу внеурочной деятельности</w:t>
            </w:r>
          </w:p>
          <w:p>
            <w:pPr>
              <w:jc w:val="left"/>
              <w:spacing w:after="0" w:line="240" w:lineRule="auto"/>
              <w:rPr>
                <w:sz w:val="19"/>
                <w:szCs w:val="19"/>
              </w:rPr>
            </w:pPr>
            <w:r>
              <w:rPr>
                <w:rFonts w:ascii="Times New Roman" w:hAnsi="Times New Roman" w:cs="Times New Roman"/>
                <w:color w:val="#000000"/>
                <w:sz w:val="19"/>
                <w:szCs w:val="19"/>
              </w:rPr>
              <w:t>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1576.86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568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ОПК-1.1 ОПК-2.1 ОПК-2.2 ОПК-3.1 ОПК-3.2 ПКО-2.1 ПКО-2.2</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Л1.4Л2.1 Л2.2 Л2.3</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304"/>
        </w:trPr>
        <w:tc>
          <w:tcPr>
            <w:tcW w:w="710" w:type="dxa"/>
          </w:tcPr>
          <w:p/>
        </w:tc>
        <w:tc>
          <w:tcPr>
            <w:tcW w:w="285" w:type="dxa"/>
          </w:tcPr>
          <w:p/>
        </w:tc>
        <w:tc>
          <w:tcPr>
            <w:tcW w:w="1560" w:type="dxa"/>
          </w:tcPr>
          <w:p/>
        </w:tc>
        <w:tc>
          <w:tcPr>
            <w:tcW w:w="2127" w:type="dxa"/>
          </w:tcPr>
          <w:p/>
        </w:tc>
        <w:tc>
          <w:tcPr>
            <w:tcW w:w="1844" w:type="dxa"/>
          </w:tcPr>
          <w:p/>
        </w:tc>
        <w:tc>
          <w:tcPr>
            <w:tcW w:w="143"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4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Внеурочная деятельность: содержание и технологии реализации: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page=book&amp;id=462868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Михайлова Н.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Внеурочная деятельность в естественнонаучном образовании, как средство развития интеллектуально-познавательных учебных действий у младших школьников: студенческая научная работа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 б.и.,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page=book&amp;id=595278 неограниченный доступ для зарегистрированных пользователей</w:t>
            </w:r>
          </w:p>
        </w:tc>
      </w:tr>
      <w:tr>
        <w:trPr>
          <w:trHeight w:hRule="exact" w:val="2876.49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Алексеева, В. А., Васильева, Е. А., Громова, Н. О., Дейко, В. В., Зимина, Л. В., Котенко, Е. В., Медведева, С. Ю., Милютина, Н. В., Никитина, Т. А., Пиваева, Н. А., Ржаевская, О. М., Татарченкова, С. С., Цыганкова, М. Ю., Шумеева, Т. А., Татарченкова, С.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Технологии развития универсальных учебных действий учащихся в урочной и внеурочной деятельности: учебно-методическое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ru/61037.html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Муштавинская, И. В., Кузнецова, Т.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Внеурочная деятельность. Содержание и технологии реализации: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 ru/68593.html неограниченный доступ для зарегистрированных пользователей</w:t>
            </w:r>
          </w:p>
        </w:tc>
      </w:tr>
      <w:tr>
        <w:trPr>
          <w:trHeight w:hRule="exact" w:val="277.8312"/>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2268.0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Роготнева А. В., Тарасова Л. Н., Никульшин С. М., Гуренкова Е. А., Тумилович Я. Г., Сушилов М. А., Богданова О. А., Соловьёва Т. Н., Сеченова Е. Б., Юдина Т. В., Щедова Т. Л.</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Организация проектной деятельности в школе в свете требований ФГОС: методическое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Владос,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page=book&amp;id=429750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Даутова О. Б., Иваньшина Е. В., Ивашедкина О. А., Казачкова Т. Б., Крылова О.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Современные педагогические технологии основной школы в условиях ФГОС: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КАРО, 2015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page=book&amp;id=462676 неограниченный доступ для зарегистрированных пользователей</w:t>
            </w:r>
          </w:p>
        </w:tc>
      </w:tr>
      <w:tr>
        <w:trPr>
          <w:trHeight w:hRule="exact" w:val="680.316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Топилина,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Внеурочная деятельность как эффективная форма воспитания духовно-нравственных качеств личности младших школьников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Издательство ИП О.И. Волошина, 2020. - №1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0</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rsl.ru – Российская государственная библиотека</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elibrary.ru – Научная электронная библиотека</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biblioclub.ru – Университетская библиотека онлайн</w:t>
            </w:r>
          </w:p>
        </w:tc>
      </w:tr>
      <w:tr>
        <w:trPr>
          <w:trHeight w:hRule="exact" w:val="279.593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intuit.ru – Национальный Открытый Университет «ИНТУИТ»</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easyQuizzy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44.04.01.15-22-1-ИНФGZ.plx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946.973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занятий используется демонстрационное оборудование. Практические занятия проводятся в компьютерных классах, рабочие места в которых оборудованы необходимыми лицензионными программными средствами и выходом в Интернет.</w:t>
            </w:r>
          </w:p>
        </w:tc>
      </w:tr>
      <w:tr>
        <w:trPr>
          <w:trHeight w:hRule="exact" w:val="277.8299"/>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2022-2023_44_04_01_15-22-1-ИНФGZ_plx_Организация внеурочной деятельности по информатике</dc:title>
  <dc:creator>FastReport.NET</dc:creator>
</cp:coreProperties>
</file>