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Магистерский семинар</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44.04.01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44.04.01.01 Историческое образование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681"/>
        <w:gridCol w:w="681"/>
        <w:gridCol w:w="581"/>
        <w:gridCol w:w="195"/>
        <w:gridCol w:w="385"/>
        <w:gridCol w:w="681"/>
        <w:gridCol w:w="209"/>
        <w:gridCol w:w="472"/>
        <w:gridCol w:w="3355"/>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44.04.01.01-22-1-ИСТGZ.plx</w:t>
            </w:r>
          </w:p>
        </w:tc>
        <w:tc>
          <w:tcPr>
            <w:tcW w:w="386" w:type="dxa"/>
          </w:tcPr>
          <w:p/>
        </w:tc>
        <w:tc>
          <w:tcPr>
            <w:tcW w:w="682" w:type="dxa"/>
          </w:tcPr>
          <w:p/>
        </w:tc>
        <w:tc>
          <w:tcPr>
            <w:tcW w:w="210" w:type="dxa"/>
          </w:tcPr>
          <w:p/>
        </w:tc>
        <w:tc>
          <w:tcPr>
            <w:tcW w:w="473" w:type="dxa"/>
          </w:tcPr>
          <w:p/>
        </w:tc>
        <w:tc>
          <w:tcPr>
            <w:tcW w:w="3356"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582" w:type="dxa"/>
          </w:tcPr>
          <w:p/>
        </w:tc>
        <w:tc>
          <w:tcPr>
            <w:tcW w:w="196" w:type="dxa"/>
          </w:tcPr>
          <w:p/>
        </w:tc>
        <w:tc>
          <w:tcPr>
            <w:tcW w:w="386" w:type="dxa"/>
          </w:tcPr>
          <w:p/>
        </w:tc>
        <w:tc>
          <w:tcPr>
            <w:tcW w:w="682" w:type="dxa"/>
          </w:tcPr>
          <w:p/>
        </w:tc>
        <w:tc>
          <w:tcPr>
            <w:tcW w:w="210" w:type="dxa"/>
          </w:tcPr>
          <w:p/>
        </w:tc>
        <w:tc>
          <w:tcPr>
            <w:tcW w:w="473" w:type="dxa"/>
          </w:tcPr>
          <w:p/>
        </w:tc>
        <w:tc>
          <w:tcPr>
            <w:tcW w:w="3356"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582" w:type="dxa"/>
          </w:tcPr>
          <w:p/>
        </w:tc>
        <w:tc>
          <w:tcPr>
            <w:tcW w:w="196" w:type="dxa"/>
          </w:tcPr>
          <w:p/>
        </w:tc>
        <w:tc>
          <w:tcPr>
            <w:tcW w:w="386" w:type="dxa"/>
          </w:tcPr>
          <w:p/>
        </w:tc>
        <w:tc>
          <w:tcPr>
            <w:tcW w:w="682" w:type="dxa"/>
          </w:tcPr>
          <w:p/>
        </w:tc>
        <w:tc>
          <w:tcPr>
            <w:tcW w:w="210" w:type="dxa"/>
          </w:tcPr>
          <w:p/>
        </w:tc>
        <w:tc>
          <w:tcPr>
            <w:tcW w:w="473" w:type="dxa"/>
          </w:tcPr>
          <w:p/>
        </w:tc>
        <w:tc>
          <w:tcPr>
            <w:tcW w:w="3356" w:type="dxa"/>
          </w:tcPr>
          <w:p/>
        </w:tc>
        <w:tc>
          <w:tcPr>
            <w:tcW w:w="710" w:type="dxa"/>
          </w:tcPr>
          <w:p/>
        </w:tc>
        <w:tc>
          <w:tcPr>
            <w:tcW w:w="285" w:type="dxa"/>
          </w:tcPr>
          <w:p/>
        </w:tc>
      </w:tr>
      <w:tr>
        <w:trPr>
          <w:trHeight w:hRule="exact" w:val="279.5941"/>
        </w:trPr>
        <w:tc>
          <w:tcPr>
            <w:tcW w:w="143" w:type="dxa"/>
          </w:tcPr>
          <w:p/>
        </w:tc>
        <w:tc>
          <w:tcPr>
            <w:tcW w:w="6299.1" w:type="dxa"/>
            <w:gridSpan w:val="11"/>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356"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137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117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37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356"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37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356"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356"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356"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356"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127</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127</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46</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46</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173</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173</w:t>
            </w:r>
          </w:p>
        </w:tc>
        <w:tc>
          <w:tcPr>
            <w:tcW w:w="3356"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27</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27</w:t>
            </w:r>
          </w:p>
        </w:tc>
        <w:tc>
          <w:tcPr>
            <w:tcW w:w="3356"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3356"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582" w:type="dxa"/>
          </w:tcPr>
          <w:p/>
        </w:tc>
        <w:tc>
          <w:tcPr>
            <w:tcW w:w="196" w:type="dxa"/>
          </w:tcPr>
          <w:p/>
        </w:tc>
        <w:tc>
          <w:tcPr>
            <w:tcW w:w="386" w:type="dxa"/>
          </w:tcPr>
          <w:p/>
        </w:tc>
        <w:tc>
          <w:tcPr>
            <w:tcW w:w="682" w:type="dxa"/>
          </w:tcPr>
          <w:p/>
        </w:tc>
        <w:tc>
          <w:tcPr>
            <w:tcW w:w="210" w:type="dxa"/>
          </w:tcPr>
          <w:p/>
        </w:tc>
        <w:tc>
          <w:tcPr>
            <w:tcW w:w="473" w:type="dxa"/>
          </w:tcPr>
          <w:p/>
        </w:tc>
        <w:tc>
          <w:tcPr>
            <w:tcW w:w="3356" w:type="dxa"/>
          </w:tcPr>
          <w:p/>
        </w:tc>
        <w:tc>
          <w:tcPr>
            <w:tcW w:w="710" w:type="dxa"/>
          </w:tcPr>
          <w:p/>
        </w:tc>
        <w:tc>
          <w:tcPr>
            <w:tcW w:w="285" w:type="dxa"/>
          </w:tcPr>
          <w:p/>
        </w:tc>
      </w:tr>
      <w:tr>
        <w:trPr>
          <w:trHeight w:hRule="exact" w:val="277.8299"/>
        </w:trPr>
        <w:tc>
          <w:tcPr>
            <w:tcW w:w="143" w:type="dxa"/>
          </w:tcPr>
          <w:p/>
        </w:tc>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473" w:type="dxa"/>
          </w:tcPr>
          <w:p/>
        </w:tc>
        <w:tc>
          <w:tcPr>
            <w:tcW w:w="3356"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582" w:type="dxa"/>
          </w:tcPr>
          <w:p/>
        </w:tc>
        <w:tc>
          <w:tcPr>
            <w:tcW w:w="196" w:type="dxa"/>
          </w:tcPr>
          <w:p/>
        </w:tc>
        <w:tc>
          <w:tcPr>
            <w:tcW w:w="386" w:type="dxa"/>
          </w:tcPr>
          <w:p/>
        </w:tc>
        <w:tc>
          <w:tcPr>
            <w:tcW w:w="682" w:type="dxa"/>
          </w:tcPr>
          <w:p/>
        </w:tc>
        <w:tc>
          <w:tcPr>
            <w:tcW w:w="210" w:type="dxa"/>
          </w:tcPr>
          <w:p/>
        </w:tc>
        <w:tc>
          <w:tcPr>
            <w:tcW w:w="473" w:type="dxa"/>
          </w:tcPr>
          <w:p/>
        </w:tc>
        <w:tc>
          <w:tcPr>
            <w:tcW w:w="3356"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ист. наук, Проф., Кринко Евгений Федорович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44.04.01.01-22-1-ИСТGZ.plx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магистров целостной системы представлений о специфике будущей профессиональной деятельности, обусловленной выполнением историками соответствующих исследовательских, научно- просветительских, преподавательских и других связанных с ними задач в сфере образования, а также особенностями их взаимоотношений с властью и обществом.</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УК-2.1:Выстраивает этапы работы над проектом с учетом последовательности их реализации, определяет этапы жизненного цикла проекта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проблему, на решение которой направлен проект, грамотно формулирует цель проекта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УК-3.1:Знает правила командной работы; необходимые условия для эффективной командной работы</w:t>
            </w:r>
          </w:p>
        </w:tc>
      </w:tr>
      <w:tr>
        <w:trPr>
          <w:trHeight w:hRule="exact" w:val="917.57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УК-3.2:Умеет планировать командную работу, распределять поручения и делегировать полномочия членам команды; организовывать обсуждение разных идей и мнений; предвидит результаты (последствия) как личных, так и коллективных действий; организовать и руководить работой команды, вырабатывая командную стратегию для достижения поставленной цели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УК-3.3:Владеет навыками осуществления деятельности по организации и руководству работой команды для достижения поставленной цели</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ОПК-3.1:Проектирует организацию совместной учебной и воспитательной деятельности обучающихся, в том числе с особыми образовательными потребностями на основе взаимодействия с другими специалистами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ОПК-3.2:Готов оказывать адресную помощь обучающимся с учетом их индивидуальных образовательных потребностей на соответствующем уровне образования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ОПК-7.1:Планирует взаимодействие и сотрудничество с субъектами образовательного процесса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ОПК-7.2:Организует взаимодействие участников образовательных отношений</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ОПК-7.3:Оценивает эффективность организации взаимодействия участников образовательных отношений</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ПКР-2.1:Знает требования и подходы к проектированию и созданию научно-методических и учебно-методических материалов; порядок разработки и использования научно-методических и учебно-методических материалов, примерных или типовых образовательных программ</w:t>
            </w:r>
          </w:p>
        </w:tc>
      </w:tr>
      <w:tr>
        <w:trPr>
          <w:trHeight w:hRule="exact" w:val="697.80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ПКР-2.2:Умеет разрабатывать новые подходы и методические решения в области проектирования научно- методических и учебно-методических материалов; разрабатывать (обновлять) примерные или типовые образовательные программы, примерные рабочие программы учебных курсов, дисциплин (модулей)</w:t>
            </w:r>
          </w:p>
        </w:tc>
      </w:tr>
      <w:tr>
        <w:trPr>
          <w:trHeight w:hRule="exact" w:val="478.04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ПКР-2.3:Владеет навыками осуществления деятельности по проектированию научно-методических и учебно- методических материалов при выполнении профессиональных задач</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3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технологию организации и проведения исторических исследований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87.679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применить экспериментальные и теоретические методы исследования в профессиональной деятельности</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87.679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понятийным аппаратом современных исследовательских подходов и практик</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«Историк и общество»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«Историк и время»</w:t>
            </w:r>
          </w:p>
          <w:p>
            <w:pPr>
              <w:jc w:val="left"/>
              <w:spacing w:after="0" w:line="240" w:lineRule="auto"/>
              <w:rPr>
                <w:sz w:val="19"/>
                <w:szCs w:val="19"/>
              </w:rPr>
            </w:pPr>
            <w:r>
              <w:rPr>
                <w:rFonts w:ascii="Times New Roman" w:hAnsi="Times New Roman" w:cs="Times New Roman"/>
                <w:color w:val="#000000"/>
                <w:sz w:val="19"/>
                <w:szCs w:val="19"/>
              </w:rPr>
              <w:t> Формирование исторического сообщества в России: основные этапы и тенденции. Историки в условиях императорской России. Историки в эпоху революции и Гражданской войны. Советская власть и научное сообщество. Историческая наука в годы Великой Отечественной войны. Изменения в историческом сообществе в послевоенный период. Историки в эпоху «перестройки» и распада СССР. Современные вызовы историческому сообществу.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44.04.01.01-22-1-ИСТGZ.plx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«Ведущие школы в исторической науке России»</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«Организация исторической науки»</w:t>
            </w:r>
          </w:p>
          <w:p>
            <w:pPr>
              <w:jc w:val="left"/>
              <w:spacing w:after="0" w:line="240" w:lineRule="auto"/>
              <w:rPr>
                <w:sz w:val="19"/>
                <w:szCs w:val="19"/>
              </w:rPr>
            </w:pPr>
            <w:r>
              <w:rPr>
                <w:rFonts w:ascii="Times New Roman" w:hAnsi="Times New Roman" w:cs="Times New Roman"/>
                <w:color w:val="#000000"/>
                <w:sz w:val="19"/>
                <w:szCs w:val="19"/>
              </w:rPr>
              <w:t> Структура научных учреждений в Российской Федерации. Российская академия наук. Органы управления российской наукой. Создание ФАНО и его деятельность. Историческая наука в системе научных учреждений РАН. Научно- исследовательские институты и вузовская наука. Особенности научного менеджмента и система финансирования научных исследований. Научные фонды и конкурсы в области исторических исследований. Формы объединений и научной коммуникации историков. Научная историческая периодика.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«Эволюция исторического образования в России»</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«Система подготовки и коллективный портрет историков»</w:t>
            </w:r>
          </w:p>
          <w:p>
            <w:pPr>
              <w:jc w:val="left"/>
              <w:spacing w:after="0" w:line="240" w:lineRule="auto"/>
              <w:rPr>
                <w:sz w:val="19"/>
                <w:szCs w:val="19"/>
              </w:rPr>
            </w:pPr>
            <w:r>
              <w:rPr>
                <w:rFonts w:ascii="Times New Roman" w:hAnsi="Times New Roman" w:cs="Times New Roman"/>
                <w:color w:val="#000000"/>
                <w:sz w:val="19"/>
                <w:szCs w:val="19"/>
              </w:rPr>
              <w:t> Демографические характеристики сообщества российских историков. Система исторического образования и подготовки специалистов-историков высшей квалификации. Защита диссертаций в профессиональной социализации ученых. Роль ВАК РФ.  Профессиональные интересы российских историков. Ведущие научные школы в современной историографии. Проблемы этики в российской исторической науке.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«Ученые степени и звания в дореволюционной России»</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44.04.01.01-22-1-ИСТGZ.plx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по дисциплине "Магистерский семинар"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«Историк и источник»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 «Исторический источник в историческом исследовании»</w:t>
            </w:r>
          </w:p>
          <w:p>
            <w:pPr>
              <w:jc w:val="left"/>
              <w:spacing w:after="0" w:line="240" w:lineRule="auto"/>
              <w:rPr>
                <w:sz w:val="19"/>
                <w:szCs w:val="19"/>
              </w:rPr>
            </w:pPr>
            <w:r>
              <w:rPr>
                <w:rFonts w:ascii="Times New Roman" w:hAnsi="Times New Roman" w:cs="Times New Roman"/>
                <w:color w:val="#000000"/>
                <w:sz w:val="19"/>
                <w:szCs w:val="19"/>
              </w:rPr>
              <w:t> Историк и источник в начале XXI в. Классификация исторических источников и их особенности. Различные виды источников официального происхождения: законодательство и нормативно-правовые акты,  судебно-следственные и делопроизводственные документы. Статистические материалы и периодическая печать как виды исторических источников. Источники личного происхождения: воспоминания, письма, дневники. Художественные произведения, фольклор и устные источники. Визуальные источники. Кинофотоаудиодокументы. Документальные публикации и возможности использования Интернет-ресурсов. Внешняя и внутренняя критика источника и ее использование в историческом исследовании.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 «Ведущие зарубежные научные школы по истории России»</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 «Историк и архивы»</w:t>
            </w:r>
          </w:p>
          <w:p>
            <w:pPr>
              <w:jc w:val="left"/>
              <w:spacing w:after="0" w:line="240" w:lineRule="auto"/>
              <w:rPr>
                <w:sz w:val="19"/>
                <w:szCs w:val="19"/>
              </w:rPr>
            </w:pPr>
            <w:r>
              <w:rPr>
                <w:rFonts w:ascii="Times New Roman" w:hAnsi="Times New Roman" w:cs="Times New Roman"/>
                <w:color w:val="#000000"/>
                <w:sz w:val="19"/>
                <w:szCs w:val="19"/>
              </w:rPr>
              <w:t> Организация архивного дела в России в ХХ – начале XXI вв.: этапы эволюции и современная ситуация. Структура Архивного фонда Российской Федерации. Организация работы архивного учреждения. Комплектование, учет и хранение документов. Основные функции и задачи архивных учреждений.</w:t>
            </w:r>
          </w:p>
          <w:p>
            <w:pPr>
              <w:jc w:val="left"/>
              <w:spacing w:after="0" w:line="240" w:lineRule="auto"/>
              <w:rPr>
                <w:sz w:val="19"/>
                <w:szCs w:val="19"/>
              </w:rPr>
            </w:pPr>
            <w:r>
              <w:rPr>
                <w:rFonts w:ascii="Times New Roman" w:hAnsi="Times New Roman" w:cs="Times New Roman"/>
                <w:color w:val="#000000"/>
                <w:sz w:val="19"/>
                <w:szCs w:val="19"/>
              </w:rPr>
              <w:t> Справочно-поисковые средства архива: каталоги, картотеки, путеводители, обзоры, указатели. Современное архивное законодательство и проблема доступа исследователей в архивы.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 «Подготовка историков в зарубежных странах»</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44.04.01.01-22-1-ИСТGZ.plx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 «Методика проведения полевых исследований»</w:t>
            </w:r>
          </w:p>
          <w:p>
            <w:pPr>
              <w:jc w:val="left"/>
              <w:spacing w:after="0" w:line="240" w:lineRule="auto"/>
              <w:rPr>
                <w:sz w:val="19"/>
                <w:szCs w:val="19"/>
              </w:rPr>
            </w:pPr>
            <w:r>
              <w:rPr>
                <w:rFonts w:ascii="Times New Roman" w:hAnsi="Times New Roman" w:cs="Times New Roman"/>
                <w:color w:val="#000000"/>
                <w:sz w:val="19"/>
                <w:szCs w:val="19"/>
              </w:rPr>
              <w:t> Организация экспедиций, полевых исследований и поисковых работ. Проведение опросов и возможности использования их результатов в исторических исследованиях. Анкетирование и интервьюирование как методы опроса, особенности их проведения.</w:t>
            </w:r>
          </w:p>
          <w:p>
            <w:pPr>
              <w:jc w:val="left"/>
              <w:spacing w:after="0" w:line="240" w:lineRule="auto"/>
              <w:rPr>
                <w:sz w:val="19"/>
                <w:szCs w:val="19"/>
              </w:rPr>
            </w:pPr>
            <w:r>
              <w:rPr>
                <w:rFonts w:ascii="Times New Roman" w:hAnsi="Times New Roman" w:cs="Times New Roman"/>
                <w:color w:val="#000000"/>
                <w:sz w:val="19"/>
                <w:szCs w:val="19"/>
              </w:rPr>
              <w:t> Проблемы взаимоотношений исследователя, интервьюера и респондента. Метод наблюдения. Фото- и видеофиксация событий.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 «Ученые степени и звания в зарубежной науке»</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«Лаборатория историка»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 «Историческое исследование»</w:t>
            </w:r>
          </w:p>
          <w:p>
            <w:pPr>
              <w:jc w:val="left"/>
              <w:spacing w:after="0" w:line="240" w:lineRule="auto"/>
              <w:rPr>
                <w:sz w:val="19"/>
                <w:szCs w:val="19"/>
              </w:rPr>
            </w:pPr>
            <w:r>
              <w:rPr>
                <w:rFonts w:ascii="Times New Roman" w:hAnsi="Times New Roman" w:cs="Times New Roman"/>
                <w:color w:val="#000000"/>
                <w:sz w:val="19"/>
                <w:szCs w:val="19"/>
              </w:rPr>
              <w:t> Особенности исторического познания. Проблема смысла и цели истории. Исследовательская методология: принципы и методы работы историка. Детерминизм в истории. Концепции идеальных движущих сил, природных, материальных и психологических факторов. Принцип историзма. Проблема объективности и субъективности в историческом познании. Сравнительно-исторический и биографический методы. Системность и междисциплинарность. Использование количественных методов и информационных технологий. Современные подходы и направления исторического анализа.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 «Система учета документов в современных архивах»</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по дисциплине "Магистерский семинар"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ОПК-3.1 ОПК-3.2 ОПК-7.1 ОПК-7.2 ОПК-7.3 ПКР-2.1 ПКР-2.2 ПКР-2.3 УК -2.1 УК-2.2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485.982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44.04.01.01-22-1-ИСТGZ.plx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69.677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Данилевский И.Н., Кабанов В.В., Медушевская О.М., Румянцева М.Ф.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Источниковедение: Теория. История. Метод. Источники Российской истории: Учеб. пособие для гуманит.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Рос. гос. гуманит. ун- т,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Райзберг, Борис Абрамович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Диссертация и ученая степень: пособие для соискателя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ИНФРА-М,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Ракитов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Историческое познание: Системно- гносеологический подход: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page=book&amp;id=222494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876.4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Мирская Е. З., Юревич А. В., Аллахвердян А. Г., Агамова Н. С., Печенкин А. А., Козлов Б. И., Грановский Ю. В., Шульгина И. В., Кузнецова Т. Е., Дежина И. Г., Ваганов А.Г., Володарская Е. А., Ефременко Д. В., Гиндилис Н. Л .</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Науковедение и новые тенденции в развитии российской науки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Логос,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Блок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Апология истории или Ремесло историка: публицистика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page=book&amp;id=36065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академия наук. http://www.ras.ru/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Отделение историко-филологических наук РАН. http://hist-phil.ru/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Южный научный центр РАН. http://www.ssc-ras.ru/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российской истории РАН. http://iriran.ru/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Московский государственный университет. http://www.msu.ru/</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Санкт-Петербургский государственный университет. http://spbu.ru/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Государственный архив Ростовской области. http://gosarhro.ru/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Центр документации новейшей истории Ростовской области. http://гуцдниро.рф/</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44.04.01.01-22-1-ИСТGZ.plx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2022-2023_44_04_01_01-22-1-ИСТGZ_plx_Магистерский семинар</dc:title>
  <dc:creator>FastReport.NET</dc:creator>
</cp:coreProperties>
</file>