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54D16" w:rsidRPr="001D4B8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54D16" w:rsidRPr="008F3333" w:rsidRDefault="00C54D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4D1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54D16" w:rsidRDefault="00CD58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4D16">
        <w:trPr>
          <w:trHeight w:hRule="exact" w:val="1139"/>
        </w:trPr>
        <w:tc>
          <w:tcPr>
            <w:tcW w:w="6096" w:type="dxa"/>
          </w:tcPr>
          <w:p w:rsidR="00C54D16" w:rsidRDefault="00C54D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</w:tr>
      <w:tr w:rsidR="00C54D16">
        <w:trPr>
          <w:trHeight w:hRule="exact" w:val="1666"/>
        </w:trPr>
        <w:tc>
          <w:tcPr>
            <w:tcW w:w="6096" w:type="dxa"/>
          </w:tcPr>
          <w:p w:rsidR="00C54D16" w:rsidRDefault="00C54D16"/>
        </w:tc>
        <w:tc>
          <w:tcPr>
            <w:tcW w:w="4679" w:type="dxa"/>
          </w:tcPr>
          <w:p w:rsidR="00C54D16" w:rsidRDefault="00C54D16"/>
        </w:tc>
      </w:tr>
      <w:tr w:rsidR="00C54D16" w:rsidRPr="001D4B8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Управление </w:t>
            </w:r>
            <w:proofErr w:type="gramStart"/>
            <w:r w:rsidRPr="008F3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экономическими процессами</w:t>
            </w:r>
            <w:proofErr w:type="gramEnd"/>
            <w:r w:rsidRPr="008F3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 спорте</w:t>
            </w:r>
          </w:p>
        </w:tc>
      </w:tr>
      <w:tr w:rsidR="00C54D16" w:rsidRPr="001D4B8F">
        <w:trPr>
          <w:trHeight w:hRule="exact" w:val="972"/>
        </w:trPr>
        <w:tc>
          <w:tcPr>
            <w:tcW w:w="6096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 w:rsidRPr="001D4B8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54D16" w:rsidRPr="008F3333" w:rsidRDefault="00CD5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54D16" w:rsidRPr="001D4B8F">
        <w:trPr>
          <w:trHeight w:hRule="exact" w:val="3699"/>
        </w:trPr>
        <w:tc>
          <w:tcPr>
            <w:tcW w:w="6096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 w:rsidP="001D4B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 w:rsidR="001D4B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8F3333" w:rsidRPr="008F333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1D4B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54D16">
        <w:trPr>
          <w:trHeight w:hRule="exact" w:val="694"/>
        </w:trPr>
        <w:tc>
          <w:tcPr>
            <w:tcW w:w="6096" w:type="dxa"/>
          </w:tcPr>
          <w:p w:rsidR="00C54D16" w:rsidRDefault="00C54D16"/>
        </w:tc>
        <w:tc>
          <w:tcPr>
            <w:tcW w:w="4679" w:type="dxa"/>
          </w:tcPr>
          <w:p w:rsidR="00C54D16" w:rsidRDefault="00C54D16"/>
        </w:tc>
      </w:tr>
      <w:tr w:rsidR="00C54D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54D16" w:rsidRDefault="00CD58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54D16" w:rsidRDefault="00CD5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C54D1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309" w:type="dxa"/>
          </w:tcPr>
          <w:p w:rsidR="00C54D16" w:rsidRDefault="00C54D16"/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54D16">
        <w:trPr>
          <w:trHeight w:hRule="exact" w:val="277"/>
        </w:trPr>
        <w:tc>
          <w:tcPr>
            <w:tcW w:w="143" w:type="dxa"/>
          </w:tcPr>
          <w:p w:rsidR="00C54D16" w:rsidRDefault="00C54D16"/>
        </w:tc>
        <w:tc>
          <w:tcPr>
            <w:tcW w:w="1419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  <w:tc>
          <w:tcPr>
            <w:tcW w:w="697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134" w:type="dxa"/>
          </w:tcPr>
          <w:p w:rsidR="00C54D16" w:rsidRDefault="00C54D16"/>
        </w:tc>
        <w:tc>
          <w:tcPr>
            <w:tcW w:w="309" w:type="dxa"/>
          </w:tcPr>
          <w:p w:rsidR="00C54D16" w:rsidRDefault="00C54D16"/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7"/>
        </w:trPr>
        <w:tc>
          <w:tcPr>
            <w:tcW w:w="143" w:type="dxa"/>
          </w:tcPr>
          <w:p w:rsidR="00C54D16" w:rsidRDefault="00C54D1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54D16" w:rsidRDefault="00C54D1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7"/>
        </w:trPr>
        <w:tc>
          <w:tcPr>
            <w:tcW w:w="143" w:type="dxa"/>
          </w:tcPr>
          <w:p w:rsidR="00C54D16" w:rsidRDefault="00C54D16"/>
        </w:tc>
        <w:tc>
          <w:tcPr>
            <w:tcW w:w="1419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  <w:tc>
          <w:tcPr>
            <w:tcW w:w="697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134" w:type="dxa"/>
          </w:tcPr>
          <w:p w:rsidR="00C54D16" w:rsidRDefault="00C54D16"/>
        </w:tc>
        <w:tc>
          <w:tcPr>
            <w:tcW w:w="309" w:type="dxa"/>
          </w:tcPr>
          <w:p w:rsidR="00C54D16" w:rsidRDefault="00C54D16"/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 w:rsidRPr="001D4B8F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54D16"/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9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7"/>
        </w:trPr>
        <w:tc>
          <w:tcPr>
            <w:tcW w:w="143" w:type="dxa"/>
          </w:tcPr>
          <w:p w:rsidR="00C54D16" w:rsidRDefault="00C54D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955"/>
        </w:trPr>
        <w:tc>
          <w:tcPr>
            <w:tcW w:w="143" w:type="dxa"/>
          </w:tcPr>
          <w:p w:rsidR="00C54D16" w:rsidRDefault="00C54D16"/>
        </w:tc>
        <w:tc>
          <w:tcPr>
            <w:tcW w:w="1419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  <w:tc>
          <w:tcPr>
            <w:tcW w:w="697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134" w:type="dxa"/>
          </w:tcPr>
          <w:p w:rsidR="00C54D16" w:rsidRDefault="00C54D16"/>
        </w:tc>
        <w:tc>
          <w:tcPr>
            <w:tcW w:w="309" w:type="dxa"/>
          </w:tcPr>
          <w:p w:rsidR="00C54D16" w:rsidRDefault="00C54D16"/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7"/>
        </w:trPr>
        <w:tc>
          <w:tcPr>
            <w:tcW w:w="143" w:type="dxa"/>
          </w:tcPr>
          <w:p w:rsidR="00C54D16" w:rsidRDefault="00C54D1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>
        <w:trPr>
          <w:trHeight w:hRule="exact" w:val="277"/>
        </w:trPr>
        <w:tc>
          <w:tcPr>
            <w:tcW w:w="143" w:type="dxa"/>
          </w:tcPr>
          <w:p w:rsidR="00C54D16" w:rsidRDefault="00C54D16"/>
        </w:tc>
        <w:tc>
          <w:tcPr>
            <w:tcW w:w="1419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  <w:tc>
          <w:tcPr>
            <w:tcW w:w="697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342" w:type="dxa"/>
          </w:tcPr>
          <w:p w:rsidR="00C54D16" w:rsidRDefault="00C54D16"/>
        </w:tc>
        <w:tc>
          <w:tcPr>
            <w:tcW w:w="442" w:type="dxa"/>
          </w:tcPr>
          <w:p w:rsidR="00C54D16" w:rsidRDefault="00C54D16"/>
        </w:tc>
        <w:tc>
          <w:tcPr>
            <w:tcW w:w="134" w:type="dxa"/>
          </w:tcPr>
          <w:p w:rsidR="00C54D16" w:rsidRDefault="00C54D16"/>
        </w:tc>
        <w:tc>
          <w:tcPr>
            <w:tcW w:w="309" w:type="dxa"/>
          </w:tcPr>
          <w:p w:rsidR="00C54D16" w:rsidRDefault="00C54D16"/>
        </w:tc>
        <w:tc>
          <w:tcPr>
            <w:tcW w:w="969" w:type="dxa"/>
          </w:tcPr>
          <w:p w:rsidR="00C54D16" w:rsidRDefault="00C54D16"/>
        </w:tc>
        <w:tc>
          <w:tcPr>
            <w:tcW w:w="3828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</w:tr>
      <w:tr w:rsidR="00C54D16" w:rsidRPr="001D4B8F">
        <w:trPr>
          <w:trHeight w:hRule="exact" w:val="4584"/>
        </w:trPr>
        <w:tc>
          <w:tcPr>
            <w:tcW w:w="143" w:type="dxa"/>
          </w:tcPr>
          <w:p w:rsidR="00C54D16" w:rsidRDefault="00C54D1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54D16" w:rsidRPr="008F3333" w:rsidRDefault="00C54D16">
            <w:pPr>
              <w:spacing w:after="0" w:line="240" w:lineRule="auto"/>
              <w:rPr>
                <w:lang w:val="ru-RU"/>
              </w:rPr>
            </w:pPr>
          </w:p>
          <w:p w:rsidR="00C54D16" w:rsidRPr="008F3333" w:rsidRDefault="00C54D16">
            <w:pPr>
              <w:spacing w:after="0" w:line="240" w:lineRule="auto"/>
              <w:rPr>
                <w:lang w:val="ru-RU"/>
              </w:rPr>
            </w:pPr>
          </w:p>
          <w:p w:rsidR="00C54D16" w:rsidRPr="008F3333" w:rsidRDefault="00CD587C">
            <w:pPr>
              <w:spacing w:after="0" w:line="240" w:lineRule="auto"/>
              <w:rPr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Доц., Хало Павел Владимирович _________________</w:t>
            </w:r>
          </w:p>
          <w:p w:rsidR="00C54D16" w:rsidRPr="008F3333" w:rsidRDefault="00C54D16">
            <w:pPr>
              <w:spacing w:after="0" w:line="240" w:lineRule="auto"/>
              <w:rPr>
                <w:lang w:val="ru-RU"/>
              </w:rPr>
            </w:pPr>
          </w:p>
          <w:p w:rsidR="00C54D16" w:rsidRPr="008F3333" w:rsidRDefault="00CD587C">
            <w:pPr>
              <w:spacing w:after="0" w:line="240" w:lineRule="auto"/>
              <w:rPr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54D16" w:rsidRPr="008F3333" w:rsidRDefault="00CD587C">
      <w:pPr>
        <w:rPr>
          <w:sz w:val="0"/>
          <w:szCs w:val="0"/>
          <w:lang w:val="ru-RU"/>
        </w:rPr>
      </w:pPr>
      <w:r w:rsidRPr="008F3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54D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4D16">
        <w:trPr>
          <w:trHeight w:hRule="exact" w:val="138"/>
        </w:trPr>
        <w:tc>
          <w:tcPr>
            <w:tcW w:w="766" w:type="dxa"/>
          </w:tcPr>
          <w:p w:rsidR="00C54D16" w:rsidRDefault="00C54D16"/>
        </w:tc>
        <w:tc>
          <w:tcPr>
            <w:tcW w:w="3913" w:type="dxa"/>
          </w:tcPr>
          <w:p w:rsidR="00C54D16" w:rsidRDefault="00C54D16"/>
        </w:tc>
        <w:tc>
          <w:tcPr>
            <w:tcW w:w="5104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</w:tr>
      <w:tr w:rsidR="00C54D1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4D16" w:rsidRPr="001D4B8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(ФКиС);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C54D16" w:rsidRPr="001D4B8F">
        <w:trPr>
          <w:trHeight w:hRule="exact" w:val="277"/>
        </w:trPr>
        <w:tc>
          <w:tcPr>
            <w:tcW w:w="766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 w:rsidRPr="001D4B8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54D16" w:rsidRPr="001D4B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C54D16" w:rsidRPr="001D4B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C54D16" w:rsidRPr="001D4B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C54D16" w:rsidRPr="001D4B8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C54D16" w:rsidRPr="001D4B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C54D16" w:rsidRPr="001D4B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C54D16" w:rsidRPr="001D4B8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C54D16" w:rsidRPr="001D4B8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C54D16" w:rsidRPr="001D4B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C54D16" w:rsidRPr="001D4B8F">
        <w:trPr>
          <w:trHeight w:hRule="exact" w:val="277"/>
        </w:trPr>
        <w:tc>
          <w:tcPr>
            <w:tcW w:w="766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 w:rsidRPr="001D4B8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54D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4D16" w:rsidRPr="001D4B8F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C54D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4D16" w:rsidRPr="001D4B8F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C54D16" w:rsidRPr="008F3333" w:rsidRDefault="00CD587C">
      <w:pPr>
        <w:rPr>
          <w:sz w:val="0"/>
          <w:szCs w:val="0"/>
          <w:lang w:val="ru-RU"/>
        </w:rPr>
      </w:pPr>
      <w:r w:rsidRPr="008F3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54D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1135" w:type="dxa"/>
          </w:tcPr>
          <w:p w:rsidR="00C54D16" w:rsidRDefault="00C54D16"/>
        </w:tc>
        <w:tc>
          <w:tcPr>
            <w:tcW w:w="284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4D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4D16" w:rsidRPr="001D4B8F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правонарушений в соответствии с нормативно-правовыми актами сферы образования (ОПК-4);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C54D16" w:rsidRPr="001D4B8F">
        <w:trPr>
          <w:trHeight w:hRule="exact" w:val="277"/>
        </w:trPr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54D1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54D16" w:rsidRPr="001D4B8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дисциплины «Менеджмент физической культуры и спорта». Главная цель менеджмента. Основы теории управления. Дуглас Макгрегор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разработки управленческих решений. Классификация менеджмента.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Л1.1Л2.3</w:t>
            </w:r>
          </w:p>
        </w:tc>
      </w:tr>
      <w:tr w:rsidR="00C54D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«Введение в дисциплину «Управление 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дисциплины «Менеджмент физической культуры и спорта». Главная цель менеджмента. Основы теории управления. Дуглас Макгрегор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разработки управленческих решений. Классификация менеджмента.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</w:t>
            </w:r>
          </w:p>
        </w:tc>
      </w:tr>
      <w:tr w:rsidR="00C54D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Л1.1Л2.4</w:t>
            </w:r>
          </w:p>
        </w:tc>
      </w:tr>
      <w:tr w:rsidR="00C54D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</w:t>
            </w:r>
          </w:p>
        </w:tc>
      </w:tr>
      <w:tr w:rsidR="00C54D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спортивного руководителя.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Л1.1Л2.4</w:t>
            </w:r>
          </w:p>
        </w:tc>
      </w:tr>
      <w:tr w:rsidR="00C54D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Л1.1Л2.4</w:t>
            </w:r>
          </w:p>
        </w:tc>
      </w:tr>
    </w:tbl>
    <w:p w:rsidR="00C54D16" w:rsidRDefault="00CD5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C54D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1135" w:type="dxa"/>
          </w:tcPr>
          <w:p w:rsidR="00C54D16" w:rsidRDefault="00C54D16"/>
        </w:tc>
        <w:tc>
          <w:tcPr>
            <w:tcW w:w="284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4D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Л1.1Л2.4</w:t>
            </w:r>
          </w:p>
        </w:tc>
      </w:tr>
      <w:tr w:rsidR="00C54D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 цель и дерево целей физкультурно- спортивной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Л1.1Л2.1</w:t>
            </w:r>
          </w:p>
        </w:tc>
      </w:tr>
      <w:tr w:rsidR="00C54D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Л1.1Л2.4</w:t>
            </w:r>
          </w:p>
        </w:tc>
      </w:tr>
      <w:tr w:rsidR="00C54D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Л1.1Л2.4</w:t>
            </w:r>
          </w:p>
        </w:tc>
      </w:tr>
      <w:tr w:rsidR="00C54D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моделирования и методы экспертных оценок.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Л1.1Л2.3</w:t>
            </w:r>
          </w:p>
        </w:tc>
      </w:tr>
      <w:tr w:rsidR="00C54D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моделирования и методы экспертных оценок.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Л1.1Л2.3</w:t>
            </w:r>
          </w:p>
        </w:tc>
      </w:tr>
      <w:tr w:rsidR="00C54D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Л1.1Л2.1</w:t>
            </w:r>
          </w:p>
        </w:tc>
      </w:tr>
      <w:tr w:rsidR="00C54D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 в сфере физической культуры и спорта.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Л1.1Л2.2</w:t>
            </w:r>
          </w:p>
        </w:tc>
      </w:tr>
      <w:tr w:rsidR="00C54D1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</w:tr>
    </w:tbl>
    <w:p w:rsidR="00C54D16" w:rsidRDefault="00CD5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C54D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1135" w:type="dxa"/>
          </w:tcPr>
          <w:p w:rsidR="00C54D16" w:rsidRDefault="00C54D16"/>
        </w:tc>
        <w:tc>
          <w:tcPr>
            <w:tcW w:w="284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4D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Л1.7 Л1.1 Л1.8 Л1.9 Л1.10 Л1.11 Л1.1Л2.1 Л2.2 Л2.3 Л2.4</w:t>
            </w:r>
          </w:p>
        </w:tc>
      </w:tr>
      <w:tr w:rsidR="00C54D16" w:rsidRPr="001D4B8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товаров/услуг.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C54D1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товаров/услуг.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C54D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C54D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C54D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 социально- экономической эффективности.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Л1.1Л1.1</w:t>
            </w:r>
          </w:p>
        </w:tc>
      </w:tr>
      <w:tr w:rsidR="00C54D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 социально- экономической эффективности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Л1.1Л1.1</w:t>
            </w:r>
          </w:p>
        </w:tc>
      </w:tr>
      <w:tr w:rsidR="00C54D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C54D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</w:tbl>
    <w:p w:rsidR="00C54D16" w:rsidRDefault="00CD5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17"/>
        <w:gridCol w:w="1844"/>
        <w:gridCol w:w="143"/>
        <w:gridCol w:w="1003"/>
        <w:gridCol w:w="721"/>
        <w:gridCol w:w="424"/>
        <w:gridCol w:w="723"/>
        <w:gridCol w:w="284"/>
        <w:gridCol w:w="1006"/>
      </w:tblGrid>
      <w:tr w:rsidR="00C54D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54D16" w:rsidRDefault="00C54D16"/>
        </w:tc>
        <w:tc>
          <w:tcPr>
            <w:tcW w:w="143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426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4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54D1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риска и страхование.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Л1.11Л1.1</w:t>
            </w:r>
          </w:p>
        </w:tc>
      </w:tr>
      <w:tr w:rsidR="00C54D1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риска и страхование.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Л1.1Л1.1</w:t>
            </w:r>
          </w:p>
        </w:tc>
      </w:tr>
      <w:tr w:rsidR="00C54D1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C54D1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C54D1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 и его функции. Стартап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C54D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</w:tr>
      <w:tr w:rsidR="00C54D1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Л1.7 Л1.1 Л1.8 Л1.9 Л1.10 Л1.11 Л1.1Л2.1 Л2.2 Л2.3 Л2.4</w:t>
            </w:r>
          </w:p>
        </w:tc>
      </w:tr>
      <w:tr w:rsidR="00C54D16">
        <w:trPr>
          <w:trHeight w:hRule="exact" w:val="277"/>
        </w:trPr>
        <w:tc>
          <w:tcPr>
            <w:tcW w:w="710" w:type="dxa"/>
          </w:tcPr>
          <w:p w:rsidR="00C54D16" w:rsidRDefault="00C54D16"/>
        </w:tc>
        <w:tc>
          <w:tcPr>
            <w:tcW w:w="285" w:type="dxa"/>
          </w:tcPr>
          <w:p w:rsidR="00C54D16" w:rsidRDefault="00C54D16"/>
        </w:tc>
        <w:tc>
          <w:tcPr>
            <w:tcW w:w="1560" w:type="dxa"/>
          </w:tcPr>
          <w:p w:rsidR="00C54D16" w:rsidRDefault="00C54D16"/>
        </w:tc>
        <w:tc>
          <w:tcPr>
            <w:tcW w:w="2127" w:type="dxa"/>
          </w:tcPr>
          <w:p w:rsidR="00C54D16" w:rsidRDefault="00C54D16"/>
        </w:tc>
        <w:tc>
          <w:tcPr>
            <w:tcW w:w="1844" w:type="dxa"/>
          </w:tcPr>
          <w:p w:rsidR="00C54D16" w:rsidRDefault="00C54D16"/>
        </w:tc>
        <w:tc>
          <w:tcPr>
            <w:tcW w:w="143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426" w:type="dxa"/>
          </w:tcPr>
          <w:p w:rsidR="00C54D16" w:rsidRDefault="00C54D16"/>
        </w:tc>
        <w:tc>
          <w:tcPr>
            <w:tcW w:w="710" w:type="dxa"/>
          </w:tcPr>
          <w:p w:rsidR="00C54D16" w:rsidRDefault="00C54D16"/>
        </w:tc>
        <w:tc>
          <w:tcPr>
            <w:tcW w:w="284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</w:tr>
      <w:tr w:rsidR="00C54D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54D16" w:rsidRPr="001D4B8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54D16" w:rsidRPr="001D4B8F">
        <w:trPr>
          <w:trHeight w:hRule="exact" w:val="277"/>
        </w:trPr>
        <w:tc>
          <w:tcPr>
            <w:tcW w:w="710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 w:rsidRPr="001D4B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54D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54D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</w:tbl>
    <w:p w:rsidR="00C54D16" w:rsidRPr="008F3333" w:rsidRDefault="00CD587C">
      <w:pPr>
        <w:rPr>
          <w:sz w:val="0"/>
          <w:szCs w:val="0"/>
          <w:lang w:val="ru-RU"/>
        </w:rPr>
      </w:pPr>
      <w:r w:rsidRPr="008F3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54D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54D16" w:rsidRDefault="00C54D16"/>
        </w:tc>
        <w:tc>
          <w:tcPr>
            <w:tcW w:w="2269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54D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Ющенко Н. А., Зарипова Т. Ю., Панова А. С., Нургалиева М. Л., Файзрахманова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сфере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=454524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</w:tbl>
    <w:p w:rsidR="00C54D16" w:rsidRPr="008F3333" w:rsidRDefault="00CD587C">
      <w:pPr>
        <w:rPr>
          <w:sz w:val="0"/>
          <w:szCs w:val="0"/>
          <w:lang w:val="ru-RU"/>
        </w:rPr>
      </w:pPr>
      <w:r w:rsidRPr="008F3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54D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54D16" w:rsidRDefault="00C54D16"/>
        </w:tc>
        <w:tc>
          <w:tcPr>
            <w:tcW w:w="2269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54D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54D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 В. А., Дорофеев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=39363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=87823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Ягудин С. Ю., Кузнецов В. И., Ильенкова С.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=90537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Б. Т., Кузнецов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 менеджмент: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=115012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54D1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F33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C54D16" w:rsidRPr="001D4B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54D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54D16" w:rsidRPr="001D4B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54D16" w:rsidRPr="001D4B8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54D16" w:rsidRPr="001D4B8F">
        <w:trPr>
          <w:trHeight w:hRule="exact" w:val="277"/>
        </w:trPr>
        <w:tc>
          <w:tcPr>
            <w:tcW w:w="710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4D16" w:rsidRPr="008F3333" w:rsidRDefault="00C54D16">
            <w:pPr>
              <w:rPr>
                <w:lang w:val="ru-RU"/>
              </w:rPr>
            </w:pPr>
          </w:p>
        </w:tc>
      </w:tr>
      <w:tr w:rsidR="00C54D16" w:rsidRPr="001D4B8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54D1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9"/>
                <w:szCs w:val="19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54D16" w:rsidRPr="001D4B8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C54D16" w:rsidRPr="008F3333" w:rsidRDefault="00CD587C">
      <w:pPr>
        <w:rPr>
          <w:sz w:val="0"/>
          <w:szCs w:val="0"/>
          <w:lang w:val="ru-RU"/>
        </w:rPr>
      </w:pPr>
      <w:r w:rsidRPr="008F3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54D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C54D16" w:rsidRDefault="00C54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4D16" w:rsidRDefault="00CD5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54D16">
        <w:trPr>
          <w:trHeight w:hRule="exact" w:val="67"/>
        </w:trPr>
        <w:tc>
          <w:tcPr>
            <w:tcW w:w="4679" w:type="dxa"/>
          </w:tcPr>
          <w:p w:rsidR="00C54D16" w:rsidRDefault="00C54D16"/>
        </w:tc>
        <w:tc>
          <w:tcPr>
            <w:tcW w:w="5104" w:type="dxa"/>
          </w:tcPr>
          <w:p w:rsidR="00C54D16" w:rsidRDefault="00C54D16"/>
        </w:tc>
        <w:tc>
          <w:tcPr>
            <w:tcW w:w="993" w:type="dxa"/>
          </w:tcPr>
          <w:p w:rsidR="00C54D16" w:rsidRDefault="00C54D16"/>
        </w:tc>
      </w:tr>
      <w:tr w:rsidR="00C54D16" w:rsidRPr="001D4B8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F33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54D16" w:rsidRPr="001D4B8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D16" w:rsidRPr="008F3333" w:rsidRDefault="00CD5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3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54D16" w:rsidRDefault="00C54D16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Pr="008F3333" w:rsidRDefault="008F3333" w:rsidP="008F33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5"/>
      <w:r w:rsidRPr="008F333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1"/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2" w:name="bookmark6"/>
      <w:r w:rsidRPr="008F333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2"/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8F3333" w:rsidRPr="008F3333" w:rsidRDefault="008F3333" w:rsidP="008F333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32"/>
        <w:gridCol w:w="2198"/>
        <w:gridCol w:w="2655"/>
      </w:tblGrid>
      <w:tr w:rsidR="008F3333" w:rsidRPr="008F3333" w:rsidTr="00E85489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8F3333" w:rsidRPr="008F3333" w:rsidRDefault="008F3333" w:rsidP="008F3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8F3333" w:rsidRPr="008F3333" w:rsidRDefault="008F3333" w:rsidP="008F3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8F3333" w:rsidRPr="008F3333" w:rsidRDefault="008F3333" w:rsidP="008F33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8F3333" w:rsidRPr="001D4B8F" w:rsidTr="00E85489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8F3333" w:rsidRPr="001D4B8F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8F3333" w:rsidRPr="001D4B8F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применять экономические знания в процессе решения задач образовательной и профессиональной 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деятельности;</w:t>
            </w:r>
          </w:p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использовать различные формы, виды устной и письменной коммуникации на 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задания 1-4), (Пр. мат. - Мод. 2: 20, 21, 24-30);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8F3333" w:rsidRPr="001D4B8F" w:rsidTr="00E8548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8F3333" w:rsidRPr="001D4B8F" w:rsidTr="00E85489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8F3333" w:rsidRPr="001D4B8F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–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1.6, вопросы 2-4), (Пр. мат. - Мод. 2: вопросы 23-30);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8F3333" w:rsidRPr="001D4B8F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F3333" w:rsidRPr="008F3333" w:rsidRDefault="008F3333" w:rsidP="008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8F3333" w:rsidRPr="001D4B8F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8F3333" w:rsidRPr="001D4B8F" w:rsidTr="00E85489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8F3333" w:rsidRPr="001D4B8F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F3333" w:rsidRPr="008F3333" w:rsidRDefault="008F3333" w:rsidP="008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способы взаимодействия педагога с различными субъектами педагогического процесса в соответствии с нормативно-правовыми 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актами сферы образования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8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8F3333" w:rsidRPr="001D4B8F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8F3333" w:rsidRPr="001D4B8F" w:rsidTr="00E8548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методами диагностирования достижений обучающихся с точки зрения менеджмента;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</w:t>
            </w: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осуществления психолого-педагогической поддержки и сопровождения, используя коллективные методы работы;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способами предупреждения девиантного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1.1 тема реферата 3) , (Пр. мат. - Мод. 2: 14, 17, 27, 31);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8F3333" w:rsidRPr="001D4B8F" w:rsidTr="00E85489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8F3333" w:rsidRPr="001D4B8F" w:rsidTr="00E85489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8F3333" w:rsidRPr="008F3333" w:rsidRDefault="008F3333" w:rsidP="008F333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 (Пр. мат. - Мод. 1, тема 1.2, тесты 1-5), (Пр. мат. - Мод. 2: тема 2.1, тесты 1-5);</w:t>
            </w:r>
          </w:p>
        </w:tc>
      </w:tr>
      <w:tr w:rsidR="008F3333" w:rsidRPr="001D4B8F" w:rsidTr="00E8548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 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8F3333" w:rsidRPr="001D4B8F" w:rsidTr="00E85489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8F3333" w:rsidRPr="008F3333" w:rsidRDefault="008F3333" w:rsidP="008F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8F33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5-7), (Пр. мат. - Мод. 2: вопросы 23-30);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8F3333" w:rsidRPr="008F3333" w:rsidRDefault="008F3333" w:rsidP="008F33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 (Пр. мат. - Мод. 1, тема 1.2, тесты 1-5</w:t>
            </w:r>
            <w:proofErr w:type="gramStart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8F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8F3333" w:rsidRPr="008F3333" w:rsidRDefault="008F3333" w:rsidP="008F333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8F33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8F333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8F33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8F333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8F33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8F333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ТСп – тестирование письменное</w:t>
      </w:r>
    </w:p>
    <w:p w:rsidR="008F3333" w:rsidRPr="008F3333" w:rsidRDefault="008F3333" w:rsidP="008F3333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8F3333" w:rsidRPr="008F3333" w:rsidRDefault="008F3333" w:rsidP="008F3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8F3333" w:rsidRPr="008F3333" w:rsidRDefault="008F3333" w:rsidP="008F3333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8F3333" w:rsidRPr="008F3333" w:rsidRDefault="008F3333" w:rsidP="008F3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3" w:name="_Toc514535893"/>
    </w:p>
    <w:p w:rsidR="008F3333" w:rsidRPr="008F3333" w:rsidRDefault="008F3333" w:rsidP="008F3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8F33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8F3333" w:rsidRPr="008F3333" w:rsidRDefault="008F3333" w:rsidP="008F333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F3333" w:rsidRPr="008F3333" w:rsidRDefault="008F3333" w:rsidP="008F333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8F3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8F3333" w:rsidRPr="008F3333" w:rsidRDefault="008F3333" w:rsidP="008F33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продукта, производимого в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Специфика труда работников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тенденции в развитии рынка труда в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внебюджетные источники финансирования ФКиС в России.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производства в сфере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функции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экономики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планирования работы по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планирования развития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сводных перспективных планов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источники финансирования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Материально-техническая база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Оборотные средства и спортсооружения.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Учёт, отчетность и контроль в сфере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и методы контроля в сфере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контроля сфере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критерии эффективности работы в сфере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деятельности в сфере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Пути роста эффективности в сфере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Черты и признаки ФКиС как отрасли народного хозяйства.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Продукт, производимый в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Специфика труда работников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тенденции развития рынка труда в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внебюджетные источники финансирования ФКиС в России.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8F3333" w:rsidRPr="008F3333" w:rsidRDefault="008F3333" w:rsidP="008F333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Маркетинговая деятельность в сфере физической культуры и спорта строится на основе таких принципов, как: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направленность на достижения конечного практического результата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концентрация производства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А. Файоль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А. Файоль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распространение информации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беседа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Имеет ли право спортивная школа осуществлять предпринимательскую деятельность?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не имеет право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имеет право, но доход нельзя использовать для увеличения зарплаты сотрудникам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планирования, организация, мотивация, контроль, кондинирование и подготовка кадров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промышленные и кооперативные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бартерные операции?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эквивалентный обмен товарами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8F3333" w:rsidRPr="008F3333" w:rsidRDefault="008F3333" w:rsidP="008F3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выбор организационно правовой формы, институационализация, лицензирование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Перечислите основные виды расходов не коммерческой физкультурно-спортивной организации: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расходы, связанные с предпринимательской деятельностью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это непротеричивость раннее принятым решениям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какого возраста спортсмену разрешается самостоятельное заключение контракта о спортивной деятельности?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с 14 лет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 16 лет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F3333" w:rsidRPr="008F3333" w:rsidRDefault="008F3333" w:rsidP="008F333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8F3333" w:rsidRPr="008F3333" w:rsidRDefault="008F3333" w:rsidP="008F333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 в сфере физическая культура и спорт.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Критерии оценивания: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F3333" w:rsidRPr="008F3333" w:rsidRDefault="008F3333" w:rsidP="008F333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8F33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и значение ФКиС для экономики общества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Менеджмент ФКиС как наука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финансирования ФКиС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Спонсорство и привлечение спонсоров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Маркетинг в спорте. Ценообразование на спортивные товары и услуги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 и работа с общественностью в спорте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Товарные знаки в спортивном бизнесе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 в спорте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оплаты труда в ФКиС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 бизнес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Финансирование ФКиС за счет лотерейного и букмейстерского бизнеса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ФКиС в производственных процессах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 в системе научной организации труда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Социально-экономическая защита в ФКиС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регулирование и саморегулирование экономических отношений в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планирования работы по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планирования развития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Разработка сводных перспективных планов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Учёт, отчетность и контроль в сфере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и методы контроля в сфере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контроля сфере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критерии эффективности работы в сфере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деятельности в сфере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Пути роста эффективности в сфере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Специфика труда работников отрасли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особенности подготовки кадров для отрасли ФКиС.</w:t>
      </w:r>
    </w:p>
    <w:p w:rsidR="008F3333" w:rsidRPr="008F3333" w:rsidRDefault="008F3333" w:rsidP="008F333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  <w:r w:rsidRPr="008F3333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 по теме:</w:t>
      </w:r>
    </w:p>
    <w:p w:rsidR="008F3333" w:rsidRPr="008F3333" w:rsidRDefault="008F3333" w:rsidP="008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Предметом экономики ФКиС как дисциплины является: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разработка маркетинговых средств, продвигающих товары ФКиС к потребителям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 какому виду услуг относится большинство услуг, производимых в сфере ФКиС?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получение прибыли производителем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количество услуг, которые производители готовы продать по определённой цене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является исходной базой для нормирования труда работников ФКиС?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 осуществляется материальное стимулирование работников ФКиС?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предоставлением услуг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награждение ценными подарками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 рассчитывается зарплата работников бюджетных физкультурно-спортивных организаций?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 оплате труда работников ФКиС определяющим фактором является: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Чем образована материально-техническая база любой отрасли народногохозяйства?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виды основных фондов отрасли ФКиС существуют?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Какой преимущественный характер носит труд в отрасли ФКиС?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психологический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часть населения не работает по своей специальности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Существует ли безработица в отрасли ФКиС?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все они работают в сфере ФКиС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они не работают в сфере ФКиС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около 60% из них работает в сфере ФКиС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около 20% из них работает в сфере ФКиС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Источники поступления финансовых ресурсов в отрасль ФКиС можно объединить в две основные группы: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организации являются главным распределителем средств федерального бюджета в отрасли ФКиС?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государственный комитет РФ по ФКиС и Российская оборонная спортивно-техническая организация (РОСТО)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имеют, но прибыль может быть использована только на цели развития организации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8F33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8F33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8F3333" w:rsidRPr="008F3333" w:rsidRDefault="008F3333" w:rsidP="008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8F33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F3333" w:rsidRPr="008F3333" w:rsidRDefault="008F3333" w:rsidP="008F333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Резервы и факторы снижения себестоимости спортивной продукции.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Оплата труда физкультурных работников.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предпринимательской деятельности в сфере ФКиС.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8F3333" w:rsidRPr="008F3333" w:rsidRDefault="008F3333" w:rsidP="008F333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 в сфере физическая культура и спорт.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15,0-26,6 балла, оценка «удовлетворительно» выставляется, если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F3333" w:rsidRPr="008F3333" w:rsidRDefault="008F3333" w:rsidP="008F3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4" w:name="bookmark9"/>
      <w:r w:rsidRPr="008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4"/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3. Какие функции выполняет бизнес-план?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7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многоуровнего спонсорства?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выгодностьспонсоров в спорте?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БИЛЕТ № 17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лежит в основе менеджмента?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8F33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8F3333" w:rsidRPr="008F3333" w:rsidRDefault="008F3333" w:rsidP="008F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F3333" w:rsidRPr="008F3333" w:rsidRDefault="008F3333" w:rsidP="008F333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8F3333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F3333" w:rsidRPr="008F3333" w:rsidRDefault="008F3333" w:rsidP="008F333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8F3333" w:rsidRPr="008F3333" w:rsidRDefault="008F3333" w:rsidP="008F333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8F3333" w:rsidRPr="008F3333" w:rsidRDefault="008F3333" w:rsidP="008F333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F3333" w:rsidRPr="008F3333" w:rsidRDefault="008F3333" w:rsidP="008F333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Промежуточная аттестация проводится в форме экзамена.</w:t>
      </w:r>
    </w:p>
    <w:p w:rsidR="008F3333" w:rsidRPr="008F3333" w:rsidRDefault="008F3333" w:rsidP="008F3333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теоретических</w:t>
      </w:r>
      <w:proofErr w:type="gramEnd"/>
      <w:r w:rsidRPr="008F3333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8F3333" w:rsidRDefault="008F3333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Pr="00CD587C" w:rsidRDefault="00CD587C" w:rsidP="00CD5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2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CD587C" w:rsidRPr="00CD587C" w:rsidRDefault="00CD587C" w:rsidP="00CD5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УКАЗАНИЯ ПО ОСВОЕНИЮ ДИСЦИПЛИНЫ</w:t>
      </w:r>
    </w:p>
    <w:p w:rsidR="00CD587C" w:rsidRPr="00CD587C" w:rsidRDefault="00CD587C" w:rsidP="00CD5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Учебным планом предусмотрены следующие виды занятий:</w:t>
      </w:r>
    </w:p>
    <w:p w:rsidR="00CD587C" w:rsidRPr="00CD587C" w:rsidRDefault="00CD587C" w:rsidP="00CD58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лекции;</w:t>
      </w:r>
    </w:p>
    <w:p w:rsidR="00CD587C" w:rsidRPr="00CD587C" w:rsidRDefault="00CD587C" w:rsidP="00CD58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практические занятия.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подготовке к практическим занятиям каждый студент должен:</w:t>
      </w:r>
    </w:p>
    <w:p w:rsidR="00CD587C" w:rsidRPr="00CD587C" w:rsidRDefault="00CD587C" w:rsidP="00CD58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рекомендованную учебную литературу;</w:t>
      </w:r>
    </w:p>
    <w:p w:rsidR="00CD587C" w:rsidRPr="00CD587C" w:rsidRDefault="00CD587C" w:rsidP="00CD58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изучить конспекты лекций;</w:t>
      </w:r>
    </w:p>
    <w:p w:rsidR="00CD587C" w:rsidRPr="00CD587C" w:rsidRDefault="00CD587C" w:rsidP="00CD58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подготовить ответы на все вопросы по изучаемой теме;</w:t>
      </w:r>
    </w:p>
    <w:p w:rsidR="00CD587C" w:rsidRPr="00CD587C" w:rsidRDefault="00CD587C" w:rsidP="00CD58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Методические рекомендации по написанию, требования к оформлению рефератов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 xml:space="preserve">Реферат выполняется по одной из предложенных тем по выбору </w:t>
      </w:r>
      <w:proofErr w:type="gramStart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обучающегося</w:t>
      </w:r>
      <w:proofErr w:type="gramEnd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Обучающийся</w:t>
      </w:r>
      <w:proofErr w:type="gramEnd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Требования к реферату: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Объем не менее 16 стр. в формате А</w:t>
      </w:r>
      <w:proofErr w:type="gramStart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4</w:t>
      </w:r>
      <w:proofErr w:type="gramEnd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, шрифт Times New Roman 14, выравнивание по ширине, абзацный отступ 1 см., разметка страницы 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CD587C">
        <w:rPr>
          <w:rFonts w:ascii="Times New Roman" w:eastAsia="Calibri" w:hAnsi="Times New Roman" w:cs="Times New Roman"/>
          <w:bCs/>
          <w:sz w:val="28"/>
          <w:szCs w:val="28"/>
          <w:lang w:val="ru-RU" w:bidi="hi-IN"/>
        </w:rPr>
        <w:t>Microsoft Word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» программного пакета «Microsoft Office». Рисунки и таблицы должны быть пронумерованы и иметь название (ГОСТ 2.319-81 и</w:t>
      </w:r>
      <w:r w:rsidRPr="00CD58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ГОСТ 2.105-95).</w:t>
      </w:r>
      <w:r w:rsidRPr="00CD58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Структурно реферативная работа должна выглядеть следующим образом: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титульный лист;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план реферативной работы (оглавление);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текст реферативной работы, состоящий из введения, основной части и заключения;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список использованной литературы.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Рекомендуемый объем реферата - 15-20 страниц текста.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Академическая структура реферата: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Оглавление.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Введение.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1.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5" w:name="bookmark28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1</w:t>
      </w: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.</w:t>
      </w:r>
      <w:bookmarkEnd w:id="5"/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6" w:name="bookmark29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1.2.</w:t>
      </w:r>
      <w:bookmarkEnd w:id="6"/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Глава 2.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7" w:name="bookmark30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2.1.</w:t>
      </w:r>
      <w:bookmarkEnd w:id="7"/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bookmarkStart w:id="8" w:name="bookmark31"/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• 2.2.</w:t>
      </w:r>
      <w:bookmarkEnd w:id="8"/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Заключение.</w:t>
      </w:r>
    </w:p>
    <w:p w:rsidR="00CD587C" w:rsidRPr="00CD587C" w:rsidRDefault="00CD587C" w:rsidP="00CD587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Литература.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Во введении 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основной части 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lastRenderedPageBreak/>
        <w:t>подводящими итоги соответствующего этапа исследования. Желательно, чтобы главы не отличались сильно по объему.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 xml:space="preserve">В заключении </w:t>
      </w: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D587C">
        <w:rPr>
          <w:rFonts w:ascii="Times New Roman" w:eastAsia="Calibri" w:hAnsi="Times New Roman" w:cs="Times New Roman"/>
          <w:sz w:val="28"/>
          <w:szCs w:val="28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CD587C" w:rsidRPr="00CD587C" w:rsidRDefault="00CD587C" w:rsidP="00CD5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Default="00CD587C">
      <w:pPr>
        <w:rPr>
          <w:lang w:val="ru-RU"/>
        </w:rPr>
      </w:pPr>
    </w:p>
    <w:p w:rsidR="00CD587C" w:rsidRPr="008F3333" w:rsidRDefault="00CD587C">
      <w:pPr>
        <w:rPr>
          <w:lang w:val="ru-RU"/>
        </w:rPr>
      </w:pPr>
    </w:p>
    <w:sectPr w:rsidR="00CD587C" w:rsidRPr="008F33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4B8F"/>
    <w:rsid w:val="001F0BC7"/>
    <w:rsid w:val="008F3333"/>
    <w:rsid w:val="00C54D16"/>
    <w:rsid w:val="00CD58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3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11530</Words>
  <Characters>81749</Characters>
  <Application>Microsoft Office Word</Application>
  <DocSecurity>0</DocSecurity>
  <Lines>681</Lines>
  <Paragraphs>186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2022-2023_44_03_05_37-22-1-ФСПZ_plx_Управление экономическими процессами в спорте</dc:title>
  <dc:creator>FastReport.NET</dc:creator>
  <cp:lastModifiedBy>User</cp:lastModifiedBy>
  <cp:revision>4</cp:revision>
  <dcterms:created xsi:type="dcterms:W3CDTF">2022-10-16T06:08:00Z</dcterms:created>
  <dcterms:modified xsi:type="dcterms:W3CDTF">2022-10-18T19:45:00Z</dcterms:modified>
</cp:coreProperties>
</file>