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4B1D" w:rsidRPr="005B27E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4B1D" w:rsidRPr="00F85F56" w:rsidRDefault="001F4B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4B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F4B1D" w:rsidRDefault="00B31B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4B1D">
        <w:trPr>
          <w:trHeight w:hRule="exact" w:val="1139"/>
        </w:trPr>
        <w:tc>
          <w:tcPr>
            <w:tcW w:w="6096" w:type="dxa"/>
          </w:tcPr>
          <w:p w:rsidR="001F4B1D" w:rsidRDefault="001F4B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</w:tr>
      <w:tr w:rsidR="001F4B1D">
        <w:trPr>
          <w:trHeight w:hRule="exact" w:val="1666"/>
        </w:trPr>
        <w:tc>
          <w:tcPr>
            <w:tcW w:w="6096" w:type="dxa"/>
          </w:tcPr>
          <w:p w:rsidR="001F4B1D" w:rsidRDefault="001F4B1D"/>
        </w:tc>
        <w:tc>
          <w:tcPr>
            <w:tcW w:w="4679" w:type="dxa"/>
          </w:tcPr>
          <w:p w:rsidR="001F4B1D" w:rsidRDefault="001F4B1D"/>
        </w:tc>
      </w:tr>
      <w:tr w:rsidR="001F4B1D" w:rsidRPr="005B27E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1F4B1D" w:rsidRPr="005B27EB">
        <w:trPr>
          <w:trHeight w:hRule="exact" w:val="972"/>
        </w:trPr>
        <w:tc>
          <w:tcPr>
            <w:tcW w:w="609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F4B1D" w:rsidRPr="00F85F56" w:rsidRDefault="00B31B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F4B1D" w:rsidRPr="005B27EB">
        <w:trPr>
          <w:trHeight w:hRule="exact" w:val="3699"/>
        </w:trPr>
        <w:tc>
          <w:tcPr>
            <w:tcW w:w="609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 w:rsidP="005B27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5B2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5B27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F85F56" w:rsidRPr="005B27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2021</w:t>
            </w:r>
            <w:r w:rsidR="005B27EB" w:rsidRPr="005B27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B2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F4B1D">
        <w:trPr>
          <w:trHeight w:hRule="exact" w:val="694"/>
        </w:trPr>
        <w:tc>
          <w:tcPr>
            <w:tcW w:w="6096" w:type="dxa"/>
          </w:tcPr>
          <w:p w:rsidR="001F4B1D" w:rsidRDefault="001F4B1D"/>
        </w:tc>
        <w:tc>
          <w:tcPr>
            <w:tcW w:w="4679" w:type="dxa"/>
          </w:tcPr>
          <w:p w:rsidR="001F4B1D" w:rsidRDefault="001F4B1D"/>
        </w:tc>
      </w:tr>
      <w:tr w:rsidR="001F4B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F4B1D" w:rsidRDefault="00B31B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1F4B1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1419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  <w:tc>
          <w:tcPr>
            <w:tcW w:w="697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442" w:type="dxa"/>
          </w:tcPr>
          <w:p w:rsidR="001F4B1D" w:rsidRDefault="001F4B1D"/>
        </w:tc>
        <w:tc>
          <w:tcPr>
            <w:tcW w:w="335" w:type="dxa"/>
          </w:tcPr>
          <w:p w:rsidR="001F4B1D" w:rsidRDefault="001F4B1D"/>
        </w:tc>
        <w:tc>
          <w:tcPr>
            <w:tcW w:w="108" w:type="dxa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4B1D" w:rsidRDefault="001F4B1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1419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  <w:tc>
          <w:tcPr>
            <w:tcW w:w="697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442" w:type="dxa"/>
          </w:tcPr>
          <w:p w:rsidR="001F4B1D" w:rsidRDefault="001F4B1D"/>
        </w:tc>
        <w:tc>
          <w:tcPr>
            <w:tcW w:w="335" w:type="dxa"/>
          </w:tcPr>
          <w:p w:rsidR="001F4B1D" w:rsidRDefault="001F4B1D"/>
        </w:tc>
        <w:tc>
          <w:tcPr>
            <w:tcW w:w="108" w:type="dxa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 w:rsidRPr="005B27EB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9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955"/>
        </w:trPr>
        <w:tc>
          <w:tcPr>
            <w:tcW w:w="143" w:type="dxa"/>
          </w:tcPr>
          <w:p w:rsidR="001F4B1D" w:rsidRDefault="001F4B1D"/>
        </w:tc>
        <w:tc>
          <w:tcPr>
            <w:tcW w:w="1419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  <w:tc>
          <w:tcPr>
            <w:tcW w:w="697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442" w:type="dxa"/>
          </w:tcPr>
          <w:p w:rsidR="001F4B1D" w:rsidRDefault="001F4B1D"/>
        </w:tc>
        <w:tc>
          <w:tcPr>
            <w:tcW w:w="335" w:type="dxa"/>
          </w:tcPr>
          <w:p w:rsidR="001F4B1D" w:rsidRDefault="001F4B1D"/>
        </w:tc>
        <w:tc>
          <w:tcPr>
            <w:tcW w:w="108" w:type="dxa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>
        <w:trPr>
          <w:trHeight w:hRule="exact" w:val="277"/>
        </w:trPr>
        <w:tc>
          <w:tcPr>
            <w:tcW w:w="143" w:type="dxa"/>
          </w:tcPr>
          <w:p w:rsidR="001F4B1D" w:rsidRDefault="001F4B1D"/>
        </w:tc>
        <w:tc>
          <w:tcPr>
            <w:tcW w:w="1419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  <w:tc>
          <w:tcPr>
            <w:tcW w:w="697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342" w:type="dxa"/>
          </w:tcPr>
          <w:p w:rsidR="001F4B1D" w:rsidRDefault="001F4B1D"/>
        </w:tc>
        <w:tc>
          <w:tcPr>
            <w:tcW w:w="442" w:type="dxa"/>
          </w:tcPr>
          <w:p w:rsidR="001F4B1D" w:rsidRDefault="001F4B1D"/>
        </w:tc>
        <w:tc>
          <w:tcPr>
            <w:tcW w:w="335" w:type="dxa"/>
          </w:tcPr>
          <w:p w:rsidR="001F4B1D" w:rsidRDefault="001F4B1D"/>
        </w:tc>
        <w:tc>
          <w:tcPr>
            <w:tcW w:w="108" w:type="dxa"/>
          </w:tcPr>
          <w:p w:rsidR="001F4B1D" w:rsidRDefault="001F4B1D"/>
        </w:tc>
        <w:tc>
          <w:tcPr>
            <w:tcW w:w="1169" w:type="dxa"/>
          </w:tcPr>
          <w:p w:rsidR="001F4B1D" w:rsidRDefault="001F4B1D"/>
        </w:tc>
        <w:tc>
          <w:tcPr>
            <w:tcW w:w="3828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</w:tr>
      <w:tr w:rsidR="001F4B1D" w:rsidRPr="005B27EB">
        <w:trPr>
          <w:trHeight w:hRule="exact" w:val="4584"/>
        </w:trPr>
        <w:tc>
          <w:tcPr>
            <w:tcW w:w="143" w:type="dxa"/>
          </w:tcPr>
          <w:p w:rsidR="001F4B1D" w:rsidRDefault="001F4B1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F4B1D" w:rsidRPr="00F85F56" w:rsidRDefault="001F4B1D">
            <w:pPr>
              <w:spacing w:after="0" w:line="240" w:lineRule="auto"/>
              <w:rPr>
                <w:lang w:val="ru-RU"/>
              </w:rPr>
            </w:pPr>
          </w:p>
          <w:p w:rsidR="001F4B1D" w:rsidRPr="00F85F56" w:rsidRDefault="001F4B1D">
            <w:pPr>
              <w:spacing w:after="0" w:line="240" w:lineRule="auto"/>
              <w:rPr>
                <w:lang w:val="ru-RU"/>
              </w:rPr>
            </w:pPr>
          </w:p>
          <w:p w:rsidR="001F4B1D" w:rsidRPr="00F85F56" w:rsidRDefault="00B31B6E">
            <w:pPr>
              <w:spacing w:after="0" w:line="240" w:lineRule="auto"/>
              <w:rPr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1F4B1D" w:rsidRPr="00F85F56" w:rsidRDefault="001F4B1D">
            <w:pPr>
              <w:spacing w:after="0" w:line="240" w:lineRule="auto"/>
              <w:rPr>
                <w:lang w:val="ru-RU"/>
              </w:rPr>
            </w:pPr>
          </w:p>
          <w:p w:rsidR="001F4B1D" w:rsidRPr="00F85F56" w:rsidRDefault="00B31B6E">
            <w:pPr>
              <w:spacing w:after="0" w:line="240" w:lineRule="auto"/>
              <w:rPr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1F4B1D" w:rsidRPr="00F85F56" w:rsidRDefault="00B31B6E">
      <w:pPr>
        <w:rPr>
          <w:sz w:val="0"/>
          <w:szCs w:val="0"/>
          <w:lang w:val="ru-RU"/>
        </w:rPr>
      </w:pPr>
      <w:r w:rsidRPr="00F85F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F4B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4B1D">
        <w:trPr>
          <w:trHeight w:hRule="exact" w:val="138"/>
        </w:trPr>
        <w:tc>
          <w:tcPr>
            <w:tcW w:w="766" w:type="dxa"/>
          </w:tcPr>
          <w:p w:rsidR="001F4B1D" w:rsidRDefault="001F4B1D"/>
        </w:tc>
        <w:tc>
          <w:tcPr>
            <w:tcW w:w="228" w:type="dxa"/>
          </w:tcPr>
          <w:p w:rsidR="001F4B1D" w:rsidRDefault="001F4B1D"/>
        </w:tc>
        <w:tc>
          <w:tcPr>
            <w:tcW w:w="3687" w:type="dxa"/>
          </w:tcPr>
          <w:p w:rsidR="001F4B1D" w:rsidRDefault="001F4B1D"/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</w:tr>
      <w:tr w:rsidR="001F4B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4B1D" w:rsidRPr="005B27E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1F4B1D" w:rsidRPr="005B27EB">
        <w:trPr>
          <w:trHeight w:hRule="exact" w:val="277"/>
        </w:trPr>
        <w:tc>
          <w:tcPr>
            <w:tcW w:w="76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1F4B1D" w:rsidRPr="005B27E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1F4B1D" w:rsidRPr="005B27E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1F4B1D" w:rsidRPr="005B27E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F4B1D" w:rsidRPr="005B27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1F4B1D" w:rsidRPr="005B27EB">
        <w:trPr>
          <w:trHeight w:hRule="exact" w:val="277"/>
        </w:trPr>
        <w:tc>
          <w:tcPr>
            <w:tcW w:w="76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F4B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B1D" w:rsidRPr="005B27E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1F4B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B1D" w:rsidRPr="005B27E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1F4B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B1D" w:rsidRPr="005B27E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владеть основными понятиями и исследовательскими стратегиями естественной и гуманитарной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 (ОК-7);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1F4B1D" w:rsidRPr="005B27EB">
        <w:trPr>
          <w:trHeight w:hRule="exact" w:val="277"/>
        </w:trPr>
        <w:tc>
          <w:tcPr>
            <w:tcW w:w="76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4B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1F4B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4B1D" w:rsidRPr="005B27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ОПК-3.1 ОПК-3.2 ОПК-3.3 ПКР-4.1 ПКР-4.2 ПКР-4.3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1F4B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Л1.17Л2.2 Л2.3</w:t>
            </w:r>
          </w:p>
        </w:tc>
      </w:tr>
      <w:tr w:rsidR="001F4B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1F4B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1F4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Л1.17Л2.2 Л2.3</w:t>
            </w:r>
          </w:p>
        </w:tc>
      </w:tr>
      <w:tr w:rsidR="001F4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Л1.17Л2.2 Л2.3</w:t>
            </w:r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1F4B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4B1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Л1.8Л2.2 Л2.3</w:t>
            </w:r>
          </w:p>
        </w:tc>
      </w:tr>
      <w:tr w:rsidR="001F4B1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Л1.6Л2.2 Л2.3</w:t>
            </w:r>
          </w:p>
        </w:tc>
      </w:tr>
      <w:tr w:rsidR="001F4B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Л1.6Л2.1 Л2.2 Л2.3</w:t>
            </w:r>
          </w:p>
        </w:tc>
      </w:tr>
      <w:tr w:rsidR="001F4B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Л1.17Л2.1 Л2.2 Л2.3</w:t>
            </w:r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1F4B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4B1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Л1.12Л2.1 Л2.3</w:t>
            </w:r>
          </w:p>
        </w:tc>
      </w:tr>
      <w:tr w:rsidR="001F4B1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Л1.17Л2.1 Л2.2</w:t>
            </w:r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1F4B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1135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4B1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Л1.17Л2.1 Л2.2 Л2.3</w:t>
            </w:r>
          </w:p>
        </w:tc>
      </w:tr>
      <w:tr w:rsidR="001F4B1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Л1.17Л2.1 Л2.2</w:t>
            </w:r>
          </w:p>
        </w:tc>
      </w:tr>
      <w:tr w:rsidR="001F4B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Л1.17Л2.1 Л2.2 Л2.3</w:t>
            </w:r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7"/>
        <w:gridCol w:w="143"/>
        <w:gridCol w:w="1003"/>
        <w:gridCol w:w="721"/>
        <w:gridCol w:w="424"/>
        <w:gridCol w:w="718"/>
        <w:gridCol w:w="283"/>
        <w:gridCol w:w="1005"/>
      </w:tblGrid>
      <w:tr w:rsidR="001F4B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F4B1D" w:rsidRDefault="001F4B1D"/>
        </w:tc>
        <w:tc>
          <w:tcPr>
            <w:tcW w:w="143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426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F4B1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1F4B1D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1F4B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</w:tr>
      <w:tr w:rsidR="001F4B1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Л1.17Л2.1 Л2.2 Л2.3</w:t>
            </w:r>
          </w:p>
        </w:tc>
      </w:tr>
      <w:tr w:rsidR="001F4B1D">
        <w:trPr>
          <w:trHeight w:hRule="exact" w:val="277"/>
        </w:trPr>
        <w:tc>
          <w:tcPr>
            <w:tcW w:w="710" w:type="dxa"/>
          </w:tcPr>
          <w:p w:rsidR="001F4B1D" w:rsidRDefault="001F4B1D"/>
        </w:tc>
        <w:tc>
          <w:tcPr>
            <w:tcW w:w="285" w:type="dxa"/>
          </w:tcPr>
          <w:p w:rsidR="001F4B1D" w:rsidRDefault="001F4B1D"/>
        </w:tc>
        <w:tc>
          <w:tcPr>
            <w:tcW w:w="1560" w:type="dxa"/>
          </w:tcPr>
          <w:p w:rsidR="001F4B1D" w:rsidRDefault="001F4B1D"/>
        </w:tc>
        <w:tc>
          <w:tcPr>
            <w:tcW w:w="2127" w:type="dxa"/>
          </w:tcPr>
          <w:p w:rsidR="001F4B1D" w:rsidRDefault="001F4B1D"/>
        </w:tc>
        <w:tc>
          <w:tcPr>
            <w:tcW w:w="1844" w:type="dxa"/>
          </w:tcPr>
          <w:p w:rsidR="001F4B1D" w:rsidRDefault="001F4B1D"/>
        </w:tc>
        <w:tc>
          <w:tcPr>
            <w:tcW w:w="143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426" w:type="dxa"/>
          </w:tcPr>
          <w:p w:rsidR="001F4B1D" w:rsidRDefault="001F4B1D"/>
        </w:tc>
        <w:tc>
          <w:tcPr>
            <w:tcW w:w="710" w:type="dxa"/>
          </w:tcPr>
          <w:p w:rsidR="001F4B1D" w:rsidRDefault="001F4B1D"/>
        </w:tc>
        <w:tc>
          <w:tcPr>
            <w:tcW w:w="284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</w:tr>
      <w:tr w:rsidR="001F4B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4B1D" w:rsidRPr="005B27E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F4B1D" w:rsidRPr="005B27EB">
        <w:trPr>
          <w:trHeight w:hRule="exact" w:val="277"/>
        </w:trPr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F4B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B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повышения квалификации и проф. переподготовки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F4B1D" w:rsidRDefault="00B31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4B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F4B1D" w:rsidRDefault="001F4B1D"/>
        </w:tc>
        <w:tc>
          <w:tcPr>
            <w:tcW w:w="2269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F4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B1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</w:tbl>
    <w:p w:rsidR="001F4B1D" w:rsidRPr="00F85F56" w:rsidRDefault="00B31B6E">
      <w:pPr>
        <w:rPr>
          <w:sz w:val="0"/>
          <w:szCs w:val="0"/>
          <w:lang w:val="ru-RU"/>
        </w:rPr>
      </w:pPr>
      <w:r w:rsidRPr="00F85F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F4B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621D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F4B1D" w:rsidRDefault="001F4B1D"/>
        </w:tc>
        <w:tc>
          <w:tcPr>
            <w:tcW w:w="2269" w:type="dxa"/>
          </w:tcPr>
          <w:p w:rsidR="001F4B1D" w:rsidRDefault="001F4B1D"/>
        </w:tc>
        <w:tc>
          <w:tcPr>
            <w:tcW w:w="993" w:type="dxa"/>
          </w:tcPr>
          <w:p w:rsidR="001F4B1D" w:rsidRDefault="001F4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F4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1F4B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1F4B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4B1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B1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B1D" w:rsidRPr="005B27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5F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4B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4B1D" w:rsidRPr="005B27E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4B1D" w:rsidRPr="005B27EB">
        <w:trPr>
          <w:trHeight w:hRule="exact" w:val="277"/>
        </w:trPr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F4B1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Default="00B31B6E">
            <w:pPr>
              <w:spacing w:after="0" w:line="240" w:lineRule="auto"/>
              <w:rPr>
                <w:sz w:val="19"/>
                <w:szCs w:val="19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F4B1D" w:rsidRPr="005B27E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F4B1D" w:rsidRPr="005B27EB">
        <w:trPr>
          <w:trHeight w:hRule="exact" w:val="277"/>
        </w:trPr>
        <w:tc>
          <w:tcPr>
            <w:tcW w:w="710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B1D" w:rsidRPr="00F85F56" w:rsidRDefault="001F4B1D">
            <w:pPr>
              <w:rPr>
                <w:lang w:val="ru-RU"/>
              </w:rPr>
            </w:pPr>
          </w:p>
        </w:tc>
      </w:tr>
      <w:tr w:rsidR="001F4B1D" w:rsidRPr="005B27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85F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4B1D" w:rsidRPr="005B27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B1D" w:rsidRPr="00F85F56" w:rsidRDefault="00B31B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5F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85F56" w:rsidRDefault="00F85F56">
      <w:pPr>
        <w:rPr>
          <w:lang w:val="ru-RU"/>
        </w:rPr>
      </w:pPr>
      <w:r>
        <w:rPr>
          <w:lang w:val="ru-RU"/>
        </w:rPr>
        <w:br w:type="page"/>
      </w:r>
    </w:p>
    <w:p w:rsidR="00F85F56" w:rsidRPr="00F85F56" w:rsidRDefault="00F85F56" w:rsidP="00F85F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F85F5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F85F56" w:rsidRPr="00F85F56" w:rsidRDefault="00F85F56" w:rsidP="00F85F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F85F5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F85F56" w:rsidRPr="00F85F56" w:rsidRDefault="00F85F56" w:rsidP="00F85F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5F56" w:rsidRPr="00F85F56" w:rsidRDefault="00F85F56" w:rsidP="00F85F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5F56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F85F56" w:rsidRPr="00F85F56" w:rsidRDefault="00F85F56" w:rsidP="00F85F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85F56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73"/>
        <w:gridCol w:w="2232"/>
        <w:gridCol w:w="2185"/>
        <w:gridCol w:w="2621"/>
      </w:tblGrid>
      <w:tr w:rsidR="00F85F56" w:rsidRPr="00AF2DC3" w:rsidTr="0072222D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F56" w:rsidRPr="00AF2DC3" w:rsidRDefault="00F85F56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F85F56" w:rsidRPr="005B27EB" w:rsidTr="0072222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F85F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F85F56" w:rsidRPr="005B27EB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применять базовые 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правовые знания в процессе решения задач образовательной и профессиональной деятельности;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1.5, вопросы 1-5,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1.9, вопросы 1-5.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владеть основными понятиями и исследовательскими стратегиями естественной и гуманитарной </w:t>
            </w:r>
            <w:proofErr w:type="spellStart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науч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 программ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ОПК-4 </w:t>
            </w:r>
            <w:r w:rsidRPr="00F85F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F85F56" w:rsidRPr="005B27EB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F85F56" w:rsidRPr="005B27EB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F85F56" w:rsidRPr="005B27EB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85F56" w:rsidRPr="005B27EB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85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85F56" w:rsidRPr="00F85F56" w:rsidRDefault="00F85F56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85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F85F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F85F56" w:rsidRPr="00F85F56" w:rsidRDefault="00F85F56" w:rsidP="00F85F56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F85F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85F56" w:rsidRPr="00F85F56" w:rsidRDefault="00F85F56" w:rsidP="00F85F56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5F56" w:rsidRPr="00F85F56" w:rsidRDefault="00F85F56" w:rsidP="00F85F5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F85F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85F56" w:rsidRPr="00F85F56" w:rsidRDefault="00F85F56" w:rsidP="00F85F56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85F56" w:rsidRPr="00F85F56" w:rsidRDefault="00F85F56" w:rsidP="0050137A">
      <w:pPr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F85F56" w:rsidRPr="00F85F56" w:rsidRDefault="00F85F56" w:rsidP="0050137A">
      <w:pPr>
        <w:shd w:val="clear" w:color="auto" w:fill="FFFFFF"/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F85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F85F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F85F56" w:rsidRPr="00F85F56" w:rsidRDefault="00F85F56" w:rsidP="0050137A">
      <w:pPr>
        <w:contextualSpacing/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</w:t>
      </w:r>
      <w:r w:rsidRPr="00F85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F85F56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F85F56" w:rsidRPr="00F85F56" w:rsidRDefault="00F85F56" w:rsidP="0050137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Слово «конституция» образовано от слова «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constitutio</w:t>
      </w:r>
      <w:proofErr w:type="spellEnd"/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», что означает: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устройство,  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согласие, 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соглашение,  </w:t>
      </w:r>
    </w:p>
    <w:p w:rsidR="00F85F56" w:rsidRPr="000915DF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Г) </w:t>
      </w:r>
      <w:proofErr w:type="spellStart"/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декларация</w:t>
      </w:r>
      <w:proofErr w:type="spellEnd"/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>.</w:t>
      </w:r>
    </w:p>
    <w:p w:rsidR="00F85F56" w:rsidRPr="00F85F56" w:rsidRDefault="00F85F56" w:rsidP="0050137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Какое краткое определение соответствует понятию конституция: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это крупный юридический акт, содержащий все законы страны;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это присяга на верность государства;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это основной закон государства, определяющий его устройство, систему власти.</w:t>
      </w:r>
    </w:p>
    <w:p w:rsidR="00F85F56" w:rsidRPr="00F85F56" w:rsidRDefault="00F85F56" w:rsidP="0050137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Россия по Конституции РФ является: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конфедерацией,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федеративным государством,</w:t>
      </w:r>
    </w:p>
    <w:p w:rsidR="00F85F56" w:rsidRPr="000915DF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В) </w:t>
      </w:r>
      <w:proofErr w:type="spellStart"/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унитарным</w:t>
      </w:r>
      <w:proofErr w:type="spellEnd"/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sz w:val="26"/>
          <w:szCs w:val="28"/>
        </w:rPr>
        <w:t>государством</w:t>
      </w:r>
      <w:proofErr w:type="spellEnd"/>
      <w:r w:rsidRPr="000915DF">
        <w:rPr>
          <w:rFonts w:ascii="Times New Roman" w:eastAsia="Calibri" w:hAnsi="Times New Roman" w:cs="Times New Roman"/>
          <w:sz w:val="26"/>
          <w:szCs w:val="28"/>
        </w:rPr>
        <w:t>.</w:t>
      </w:r>
    </w:p>
    <w:p w:rsidR="00F85F56" w:rsidRPr="000915DF" w:rsidRDefault="00F85F56" w:rsidP="0050137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Конституция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РФ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имеет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верховенство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только на территориях с преобладанием русского населения;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только в республиках;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на всей территории государства.</w:t>
      </w:r>
    </w:p>
    <w:p w:rsidR="00F85F56" w:rsidRPr="000915DF" w:rsidRDefault="00F85F56" w:rsidP="0050137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Разделение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властей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необходимо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для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торжества равенства перед законно и судом, 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торжества справедливости в применении правовых норм,   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Г) сдерживания действий общественных объединений.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1.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являться членом ОКР: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является руководящим органом ОКР: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9.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F85F56" w:rsidRPr="00F85F56" w:rsidRDefault="00F85F56" w:rsidP="0050137A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tabs>
          <w:tab w:val="left" w:pos="142"/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F85F56" w:rsidRPr="00F85F56" w:rsidRDefault="00F85F56" w:rsidP="0050137A">
      <w:pPr>
        <w:tabs>
          <w:tab w:val="left" w:pos="284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shd w:val="clear" w:color="auto" w:fill="FFFFFF"/>
        <w:contextualSpacing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85F56" w:rsidRPr="000915DF" w:rsidRDefault="00F85F56" w:rsidP="0050137A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F56" w:rsidRPr="000915DF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F85F56" w:rsidRPr="000915DF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F56" w:rsidRPr="00F85F56" w:rsidRDefault="00F85F56" w:rsidP="0050137A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F85F56" w:rsidRPr="00F85F56" w:rsidRDefault="00F85F56" w:rsidP="0050137A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F85F56" w:rsidRPr="000915DF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F56" w:rsidRPr="00F85F56" w:rsidRDefault="00F85F56" w:rsidP="0050137A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F85F56" w:rsidRPr="000915DF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F56" w:rsidRPr="00F85F56" w:rsidRDefault="00F85F56" w:rsidP="0050137A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Сторонами трудового договора являются: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работодатель и работник;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работник и трудовой коллектив;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трудовой коллектив и работодатель.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7. Условия оплаты труда являются: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обязательными (существенными) условиями;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дополнительными условиями.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8. По общему правилу трудовой договор вступает в силу: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на следующий день после подписания работником и работодателем;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со дня его подписания работником и работодателем.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9. Если в трудовом договоре не оговорен срок его действия, то договор считается: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заключенным на неопределенный срок;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срочным;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временным.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страховое свидетельство </w:t>
      </w:r>
      <w:proofErr w:type="spellStart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гос</w:t>
      </w:r>
      <w:proofErr w:type="spellEnd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. пенсионного фонда;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документ об образовании (диплом);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медицинская справка о здоровье.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да;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нет.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12. Прогулом считается отсутствие на рабочем месте без уважительной причины: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более 4 часов подряд в течени</w:t>
      </w:r>
      <w:proofErr w:type="gramStart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lastRenderedPageBreak/>
        <w:t>Б) в течени</w:t>
      </w:r>
      <w:proofErr w:type="gramStart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1 рабочего дня;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более 2 часов подряд в течени</w:t>
      </w:r>
      <w:proofErr w:type="gramStart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за</w:t>
      </w:r>
      <w:proofErr w:type="gramEnd"/>
      <w:r w:rsidRPr="00F85F56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: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А) 3 дня;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Б) 1 неделю;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>В) 2 недели.</w:t>
      </w:r>
    </w:p>
    <w:p w:rsidR="00F85F56" w:rsidRPr="00F85F56" w:rsidRDefault="00F85F56" w:rsidP="0050137A">
      <w:pPr>
        <w:contextualSpacing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F85F56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14. </w:t>
      </w: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F85F56" w:rsidRPr="00F85F56" w:rsidRDefault="00F85F56" w:rsidP="0050137A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lastRenderedPageBreak/>
        <w:t>Примеры письменного тестирования по теме «Нормативно-правовые акты международного спортивного движения»:</w:t>
      </w:r>
    </w:p>
    <w:p w:rsidR="00F85F56" w:rsidRPr="00F85F56" w:rsidRDefault="00F85F56" w:rsidP="0050137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F85F56" w:rsidRPr="00F85F56" w:rsidRDefault="00F85F56" w:rsidP="0050137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F85F56" w:rsidRPr="00F85F56" w:rsidRDefault="00F85F56" w:rsidP="0050137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F85F56" w:rsidRPr="000915DF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</w:t>
      </w:r>
      <w:proofErr w:type="spellEnd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F56" w:rsidRPr="00F85F56" w:rsidRDefault="00F85F56" w:rsidP="0050137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F85F56" w:rsidRPr="00F85F56" w:rsidRDefault="00F85F56" w:rsidP="0050137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F85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85F56" w:rsidRPr="00F85F56" w:rsidRDefault="00F85F56" w:rsidP="0050137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85F56" w:rsidRPr="00621D00" w:rsidRDefault="00F85F56" w:rsidP="00F85F56">
      <w:pPr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21D0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Характеристика пакета законов о спорте (на конкретном примере по выбору студента).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F85F5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F85F56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F85F56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F85F5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F85F56" w:rsidRPr="00F85F56" w:rsidRDefault="00F85F56" w:rsidP="00F85F5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85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Критерии оценивания 1 вопроса: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F85F56" w:rsidRPr="00F85F56" w:rsidRDefault="00F85F56" w:rsidP="00F85F56">
      <w:pPr>
        <w:tabs>
          <w:tab w:val="right" w:leader="underscore" w:pos="96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5F56" w:rsidRPr="00CC2AB3" w:rsidRDefault="00F85F56" w:rsidP="00F85F56">
      <w:pPr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F85F56" w:rsidRPr="00CC2AB3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зарубежного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Спортивные конфликты в юридической сфере (характеристика конкретных прецедентов и коллизий).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F85F56" w:rsidRPr="00F85F56" w:rsidRDefault="00F85F56" w:rsidP="00F85F56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F85F56" w:rsidRPr="00F85F56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F85F56" w:rsidRPr="00F85F56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bookmarkStart w:id="3" w:name="_GoBack"/>
      <w:bookmarkEnd w:id="3"/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8,4-40,0 балла, оценка «отлично» выставляется, если</w:t>
      </w:r>
    </w:p>
    <w:p w:rsidR="00F85F56" w:rsidRPr="00F85F56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F85F56" w:rsidRPr="00F85F56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F85F56" w:rsidRPr="000F476F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F85F56" w:rsidRPr="00F85F56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F85F56" w:rsidRPr="000F476F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6,6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F85F56" w:rsidRPr="000F476F" w:rsidRDefault="00F85F56" w:rsidP="00F85F56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F85F56" w:rsidRPr="00F85F56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5F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допущены фактические ошибки в содержании реферата или при ответе на дополнительные вопросы;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F56" w:rsidRPr="000F476F" w:rsidRDefault="00F85F56" w:rsidP="00F85F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spellEnd"/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F56" w:rsidRPr="00E36590" w:rsidRDefault="00F85F56" w:rsidP="00F85F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F56" w:rsidRPr="00F85F56" w:rsidRDefault="00F85F56" w:rsidP="00F85F56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5F56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5F56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5F56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5F56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F85F56" w:rsidRPr="00F85F56" w:rsidRDefault="00F85F56" w:rsidP="00F85F56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5F56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F85F56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F85F56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31B6E" w:rsidRDefault="00B31B6E">
      <w:pPr>
        <w:rPr>
          <w:lang w:val="ru-RU"/>
        </w:rPr>
      </w:pPr>
      <w:r>
        <w:rPr>
          <w:lang w:val="ru-RU"/>
        </w:rPr>
        <w:br w:type="page"/>
      </w:r>
    </w:p>
    <w:p w:rsidR="00B31B6E" w:rsidRPr="00BF459A" w:rsidRDefault="00B31B6E" w:rsidP="00B31B6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:rsidR="00B31B6E" w:rsidRPr="00BF459A" w:rsidRDefault="00B31B6E" w:rsidP="00B31B6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1B6E" w:rsidRPr="00BF459A" w:rsidRDefault="00B31B6E" w:rsidP="00B31B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УКАЗАНИЯ ПО ОСВОЕНИЮ ДИСЦИПЛИНЫ</w:t>
      </w:r>
    </w:p>
    <w:p w:rsidR="00B31B6E" w:rsidRPr="00BF459A" w:rsidRDefault="00B31B6E" w:rsidP="00B31B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предусмотрены следующие виды занятий: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;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459A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proofErr w:type="gram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При подготовке к практическим занятиям каждый студент должен: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рекомендованную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учебную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;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конспекты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;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подготовить ответы на все вопросы по изучаемой теме;</w:t>
      </w:r>
    </w:p>
    <w:p w:rsidR="00B31B6E" w:rsidRPr="00BF459A" w:rsidRDefault="00B31B6E" w:rsidP="00B31B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F459A">
        <w:rPr>
          <w:rFonts w:ascii="Times New Roman" w:hAnsi="Times New Roman" w:cs="Times New Roman"/>
          <w:sz w:val="24"/>
          <w:szCs w:val="24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B31B6E" w:rsidRPr="00BF459A" w:rsidRDefault="00B31B6E" w:rsidP="00B31B6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по написанию, требования к оформлению рефератов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BF459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F459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F459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Требования к реферату: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Объем не менее 16 стр. в формате А</w:t>
      </w:r>
      <w:proofErr w:type="gramStart"/>
      <w:r w:rsidRPr="00BF459A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, шрифт </w:t>
      </w:r>
      <w:r w:rsidRPr="00BF459A">
        <w:rPr>
          <w:rFonts w:ascii="Times New Roman" w:hAnsi="Times New Roman" w:cs="Times New Roman"/>
          <w:sz w:val="24"/>
          <w:szCs w:val="24"/>
        </w:rPr>
        <w:t>Times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59A">
        <w:rPr>
          <w:rFonts w:ascii="Times New Roman" w:hAnsi="Times New Roman" w:cs="Times New Roman"/>
          <w:sz w:val="24"/>
          <w:szCs w:val="24"/>
        </w:rPr>
        <w:t>New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59A">
        <w:rPr>
          <w:rFonts w:ascii="Times New Roman" w:hAnsi="Times New Roman" w:cs="Times New Roman"/>
          <w:sz w:val="24"/>
          <w:szCs w:val="24"/>
        </w:rPr>
        <w:t>Roman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14, выравнивание по ширине, абзацный отступ 1 см., разметка страницы 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BF459A">
        <w:rPr>
          <w:rFonts w:ascii="Times New Roman" w:hAnsi="Times New Roman" w:cs="Times New Roman"/>
          <w:bCs/>
          <w:sz w:val="24"/>
          <w:szCs w:val="24"/>
        </w:rPr>
        <w:t>Microsoft</w:t>
      </w:r>
      <w:r w:rsidRPr="00BF45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F459A">
        <w:rPr>
          <w:rFonts w:ascii="Times New Roman" w:hAnsi="Times New Roman" w:cs="Times New Roman"/>
          <w:bCs/>
          <w:sz w:val="24"/>
          <w:szCs w:val="24"/>
        </w:rPr>
        <w:t>Word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>» программного пакета «</w:t>
      </w:r>
      <w:r w:rsidRPr="00BF459A">
        <w:rPr>
          <w:rFonts w:ascii="Times New Roman" w:hAnsi="Times New Roman" w:cs="Times New Roman"/>
          <w:sz w:val="24"/>
          <w:szCs w:val="24"/>
        </w:rPr>
        <w:t>Microsoft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59A">
        <w:rPr>
          <w:rFonts w:ascii="Times New Roman" w:hAnsi="Times New Roman" w:cs="Times New Roman"/>
          <w:sz w:val="24"/>
          <w:szCs w:val="24"/>
        </w:rPr>
        <w:t>Office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Структурно реферативная работа должна выглядеть следующим образом: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;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реферативной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);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текст реферативной работы, состоящий из введения, основной части и заключения;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459A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Рекомендуемый объем реферата - 15-20 страниц текста.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реферата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: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8"/>
      <w:r w:rsidRPr="00BF459A">
        <w:rPr>
          <w:rFonts w:ascii="Times New Roman" w:hAnsi="Times New Roman" w:cs="Times New Roman"/>
          <w:sz w:val="24"/>
          <w:szCs w:val="24"/>
        </w:rPr>
        <w:t>1</w:t>
      </w:r>
      <w:r w:rsidRPr="00BF45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459A">
        <w:rPr>
          <w:rFonts w:ascii="Times New Roman" w:hAnsi="Times New Roman" w:cs="Times New Roman"/>
          <w:sz w:val="24"/>
          <w:szCs w:val="24"/>
        </w:rPr>
        <w:t>1</w:t>
      </w:r>
      <w:r w:rsidRPr="00BF459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4"/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</w:rPr>
      </w:pPr>
      <w:bookmarkStart w:id="5" w:name="bookmark29"/>
      <w:r w:rsidRPr="00BF459A">
        <w:rPr>
          <w:rFonts w:ascii="Times New Roman" w:hAnsi="Times New Roman" w:cs="Times New Roman"/>
          <w:sz w:val="24"/>
          <w:szCs w:val="24"/>
        </w:rPr>
        <w:t>• 1.2.</w:t>
      </w:r>
      <w:bookmarkEnd w:id="5"/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0"/>
      <w:r w:rsidRPr="00BF459A">
        <w:rPr>
          <w:rFonts w:ascii="Times New Roman" w:hAnsi="Times New Roman" w:cs="Times New Roman"/>
          <w:sz w:val="24"/>
          <w:szCs w:val="24"/>
        </w:rPr>
        <w:t>2.1.</w:t>
      </w:r>
      <w:bookmarkEnd w:id="6"/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</w:rPr>
      </w:pPr>
      <w:bookmarkStart w:id="7" w:name="bookmark31"/>
      <w:r w:rsidRPr="00BF459A">
        <w:rPr>
          <w:rFonts w:ascii="Times New Roman" w:hAnsi="Times New Roman" w:cs="Times New Roman"/>
          <w:sz w:val="24"/>
          <w:szCs w:val="24"/>
        </w:rPr>
        <w:t>• 2.2.</w:t>
      </w:r>
      <w:bookmarkEnd w:id="7"/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B31B6E" w:rsidRPr="00621D00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введении 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</w:t>
      </w:r>
      <w:r w:rsidRPr="00621D00">
        <w:rPr>
          <w:rFonts w:ascii="Times New Roman" w:hAnsi="Times New Roman" w:cs="Times New Roman"/>
          <w:sz w:val="24"/>
          <w:szCs w:val="24"/>
          <w:lang w:val="ru-RU"/>
        </w:rPr>
        <w:t>Желателен сжатый обзор научной литературы.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 основной части 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5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заключении </w:t>
      </w:r>
      <w:r w:rsidRPr="00BF459A">
        <w:rPr>
          <w:rFonts w:ascii="Times New Roman" w:hAnsi="Times New Roman" w:cs="Times New Roman"/>
          <w:sz w:val="24"/>
          <w:szCs w:val="24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B31B6E" w:rsidRPr="00BF459A" w:rsidRDefault="00B31B6E" w:rsidP="00B31B6E">
      <w:pPr>
        <w:rPr>
          <w:rFonts w:ascii="Times New Roman" w:hAnsi="Times New Roman" w:cs="Times New Roman"/>
          <w:sz w:val="24"/>
          <w:szCs w:val="24"/>
        </w:rPr>
      </w:pPr>
      <w:r w:rsidRPr="00BF459A">
        <w:rPr>
          <w:rFonts w:ascii="Times New Roman" w:hAnsi="Times New Roman" w:cs="Times New Roman"/>
          <w:sz w:val="24"/>
          <w:szCs w:val="24"/>
          <w:lang w:val="ru-RU"/>
        </w:rPr>
        <w:t xml:space="preserve">В оглавлении введению и заключению не присваивается порядковый номер. </w:t>
      </w:r>
      <w:proofErr w:type="spellStart"/>
      <w:proofErr w:type="gramStart"/>
      <w:r w:rsidRPr="00BF459A">
        <w:rPr>
          <w:rFonts w:ascii="Times New Roman" w:hAnsi="Times New Roman" w:cs="Times New Roman"/>
          <w:sz w:val="24"/>
          <w:szCs w:val="24"/>
        </w:rPr>
        <w:t>Нумеруются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параграфы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9A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F45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B1D" w:rsidRPr="00F85F56" w:rsidRDefault="001F4B1D" w:rsidP="00B31B6E">
      <w:pPr>
        <w:jc w:val="both"/>
        <w:rPr>
          <w:lang w:val="ru-RU"/>
        </w:rPr>
      </w:pPr>
    </w:p>
    <w:sectPr w:rsidR="001F4B1D" w:rsidRPr="00F85F56" w:rsidSect="001F4B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4B1D"/>
    <w:rsid w:val="0050137A"/>
    <w:rsid w:val="005B27EB"/>
    <w:rsid w:val="00621D00"/>
    <w:rsid w:val="00941698"/>
    <w:rsid w:val="00B31B6E"/>
    <w:rsid w:val="00D31453"/>
    <w:rsid w:val="00DD46ED"/>
    <w:rsid w:val="00E209E2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7618</Words>
  <Characters>55670</Characters>
  <Application>Microsoft Office Word</Application>
  <DocSecurity>0</DocSecurity>
  <Lines>463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2022-2023_44_03_05_37-21-2-ФСПZ_plx_Правовые основы физической культуры и спорта</dc:title>
  <dc:creator>FastReport.NET</dc:creator>
  <cp:lastModifiedBy>polina</cp:lastModifiedBy>
  <cp:revision>6</cp:revision>
  <dcterms:created xsi:type="dcterms:W3CDTF">2022-10-15T09:31:00Z</dcterms:created>
  <dcterms:modified xsi:type="dcterms:W3CDTF">2022-10-18T12:37:00Z</dcterms:modified>
</cp:coreProperties>
</file>