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Теоретическая фонетика английского языка</w:t>
            </w:r>
          </w:p>
        </w:tc>
      </w:tr>
      <w:tr>
        <w:trPr>
          <w:trHeight w:hRule="exact" w:val="972.4049"/>
        </w:trPr>
        <w:tc>
          <w:tcPr>
            <w:tcW w:w="6096" w:type="dxa"/>
          </w:tcPr>
          <w:p/>
        </w:tc>
        <w:tc>
          <w:tcPr>
            <w:tcW w:w="4679" w:type="dxa"/>
          </w:tcPr>
          <w:p/>
        </w:tc>
      </w:tr>
      <w:tr>
        <w:trPr>
          <w:trHeight w:hRule="exact" w:val="995.6307"/>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44.03.05.36 Русский язык и Иностранный язык (английский)</w:t>
            </w:r>
          </w:p>
        </w:tc>
      </w:tr>
      <w:tr>
        <w:trPr>
          <w:trHeight w:hRule="exact" w:val="3699.697"/>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996"/>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английского языка</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(2.1)</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филол. наук, Доц., Демонова Юлия Михайловна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Кравец О. В.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727.20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последовательное и всестороннее овладение специальными научными знаниями в области теоретической фонетики английского языка, особенностями английского произношения, а также применение данных знаний на практике с использованием возможностей цифровой образовательной среды</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ОПК-8.1:Владеет основами специальных научных знаний в сфере профессиональной деятельности</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trPr>
          <w:trHeight w:hRule="exact" w:val="1137.3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ОПК-8.3:Владеть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формирования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ПКО-1.1:Владеет средствами ИКТ для использования цифровых сервисов и разработки электронных образовательных ресурсов</w:t>
            </w:r>
          </w:p>
        </w:tc>
      </w:tr>
      <w:tr>
        <w:trPr>
          <w:trHeight w:hRule="exact" w:val="697.809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ПКО-1.2:Осуществляет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 образовательного пространства</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ПКО-1.3:Использует ресурсы международных и национальных платформ открытого образования в про- фессиональной деятельности учителя основного об-щего и среднего общего образования</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727.2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фонетического и просодического строя современного английского языка как системы разноуровневых функциональных единиц в их коммуникативных и территориальных разновидностях, особенности организации открытого информационно-образовательного пространства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507.4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применять системы разноуровневых функциональных единиц в различных коммуникативных целях с учетом возможностей цифровой образовательной среды</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727.20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навыками использования системы основных фонетических, явлений и закономерностей функционирования английского языка в его функциональных разновидностей, коммуникативными навыками  в устной и письменной формах на английском языке с применением возможностей цифровой образовательной среды</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Sound&amp;Prosodic Structure of English</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Phonetics as a science.</w:t>
            </w:r>
          </w:p>
          <w:p>
            <w:pPr>
              <w:jc w:val="left"/>
              <w:spacing w:after="0" w:line="240" w:lineRule="auto"/>
              <w:rPr>
                <w:sz w:val="19"/>
                <w:szCs w:val="19"/>
              </w:rPr>
            </w:pPr>
            <w:r>
              <w:rPr>
                <w:rFonts w:ascii="Times New Roman" w:hAnsi="Times New Roman" w:cs="Times New Roman"/>
                <w:color w:val="#000000"/>
                <w:sz w:val="19"/>
                <w:szCs w:val="19"/>
              </w:rPr>
              <w:t> Its genesis and development. Branches of phonetics. Segmental and suprasegmental phonetics. Articulatory, acoustic, auditory phonetics. Theory of phoneme.</w:t>
            </w:r>
          </w:p>
          <w:p>
            <w:pPr>
              <w:jc w:val="left"/>
              <w:spacing w:after="0" w:line="240" w:lineRule="auto"/>
              <w:rPr>
                <w:sz w:val="19"/>
                <w:szCs w:val="19"/>
              </w:rPr>
            </w:pPr>
            <w:r>
              <w:rPr>
                <w:rFonts w:ascii="Times New Roman" w:hAnsi="Times New Roman" w:cs="Times New Roman"/>
                <w:color w:val="#000000"/>
                <w:sz w:val="19"/>
                <w:szCs w:val="19"/>
              </w:rPr>
              <w:t> Baudauin de Courtenay (two periods). L. V. Shcherba; D. Jones. Notion of allophones. Meaningful oppositions. Complementary distribution. Classification of allophones.</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Л1.1Л2.1 Л2.2</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Aims of phonetics. Phonetics and other sciences. THE GROUNDWORK OF PHONOLOGY by Nickolai Trubetskoy. A phonematic structure of the English language, three types of factors. The system of English phonemes, the syllabic structure of English words, the accentual structure of words, the intonational structure of English sentences.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ПКО-1.2 ПКО-1.3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697.807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Language as a part of society and a part of ourselves. Sociophonetic studies. Psycholinguistic studies. Teaching a foreign language phonetics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Articulatory aspect of sounds.</w:t>
            </w:r>
          </w:p>
          <w:p>
            <w:pPr>
              <w:jc w:val="left"/>
              <w:spacing w:after="0" w:line="240" w:lineRule="auto"/>
              <w:rPr>
                <w:sz w:val="19"/>
                <w:szCs w:val="19"/>
              </w:rPr>
            </w:pPr>
            <w:r>
              <w:rPr>
                <w:rFonts w:ascii="Times New Roman" w:hAnsi="Times New Roman" w:cs="Times New Roman"/>
                <w:color w:val="#000000"/>
                <w:sz w:val="19"/>
                <w:szCs w:val="19"/>
              </w:rPr>
              <w:t> Transcription systems, International Phonetic Alphabet, broad transcription and narrow transcription. Articulatory and physiological aspect of speech sounds. Four kinds of mechanisms. Active and passive organs</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ПКО-1.2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Л2.1Л2.1</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Notion of a phoneme. Definition, essence, segmental nature. phonologic opposition, minimal pairs, restricted phoneme. Three aspects of a phoneme.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Speech mechanisms. The power mechanism, the vibrator mechanism, the resonator mechanism, and the obstructer mechanism. A presentation using Microsoft Office software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ПКО-1.1 ПКО-1.2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Consonant classification.</w:t>
            </w:r>
          </w:p>
          <w:p>
            <w:pPr>
              <w:jc w:val="left"/>
              <w:spacing w:after="0" w:line="240" w:lineRule="auto"/>
              <w:rPr>
                <w:sz w:val="19"/>
                <w:szCs w:val="19"/>
              </w:rPr>
            </w:pPr>
            <w:r>
              <w:rPr>
                <w:rFonts w:ascii="Times New Roman" w:hAnsi="Times New Roman" w:cs="Times New Roman"/>
                <w:color w:val="#000000"/>
                <w:sz w:val="19"/>
                <w:szCs w:val="19"/>
              </w:rPr>
              <w:t> General principles of consonant classification. Detailed consonant classification from the point of view of the work of soft palate, vocal cords, and kind of obstruction. Detailed classification of consonants according to active organ of speech and place of obstruction; mechanisms of sound modification.</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General principles of vowel classification compared with consonants. Detailed classification of vowels. A diphthong theory. Kinds of diphthong. Modern tendencies in a diphthong theory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Comparative analysis of articulatory features of consonants and vowels. Modern tendencies in consonant and vowel production.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ПКО-1.2 ПКО-1.3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Articulatory transitions of sound in connected speech.</w:t>
            </w:r>
          </w:p>
          <w:p>
            <w:pPr>
              <w:jc w:val="left"/>
              <w:spacing w:after="0" w:line="240" w:lineRule="auto"/>
              <w:rPr>
                <w:sz w:val="19"/>
                <w:szCs w:val="19"/>
              </w:rPr>
            </w:pPr>
            <w:r>
              <w:rPr>
                <w:rFonts w:ascii="Times New Roman" w:hAnsi="Times New Roman" w:cs="Times New Roman"/>
                <w:color w:val="#000000"/>
                <w:sz w:val="19"/>
                <w:szCs w:val="19"/>
              </w:rPr>
              <w:t> Three stages of sound production. General principles of vowel and consonant modifications. Co-articulated consonant. Labialisation. Palatalization. Velarization. Lenition. Epenthesis.</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Assimilation.</w:t>
            </w:r>
          </w:p>
          <w:p>
            <w:pPr>
              <w:jc w:val="left"/>
              <w:spacing w:after="0" w:line="240" w:lineRule="auto"/>
              <w:rPr>
                <w:sz w:val="19"/>
                <w:szCs w:val="19"/>
              </w:rPr>
            </w:pPr>
            <w:r>
              <w:rPr>
                <w:rFonts w:ascii="Times New Roman" w:hAnsi="Times New Roman" w:cs="Times New Roman"/>
                <w:color w:val="#000000"/>
                <w:sz w:val="19"/>
                <w:szCs w:val="19"/>
              </w:rPr>
              <w:t> Assimilation and coarticulation. Classification of assimilation according to direction, degree of completeness, degree of stability. Vowel reduction. Factors of vowel modification. Schwa. Kinds of schwa.</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Elision.</w:t>
            </w:r>
          </w:p>
          <w:p>
            <w:pPr>
              <w:jc w:val="left"/>
              <w:spacing w:after="0" w:line="240" w:lineRule="auto"/>
              <w:rPr>
                <w:sz w:val="19"/>
                <w:szCs w:val="19"/>
              </w:rPr>
            </w:pPr>
            <w:r>
              <w:rPr>
                <w:rFonts w:ascii="Times New Roman" w:hAnsi="Times New Roman" w:cs="Times New Roman"/>
                <w:color w:val="#000000"/>
                <w:sz w:val="19"/>
                <w:szCs w:val="19"/>
              </w:rPr>
              <w:t> Other terms for Elision. Kinds of Elision. Relation to the Functional Style. Rules of Elision. Relaxed pronunciation. A presentation using Microsoft Office software</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ПКО-1.1 ПКО-1.2 ПКО-1.3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Orthoepic Standard of the English Language.</w:t>
            </w:r>
          </w:p>
          <w:p>
            <w:pPr>
              <w:jc w:val="left"/>
              <w:spacing w:after="0" w:line="240" w:lineRule="auto"/>
              <w:rPr>
                <w:sz w:val="19"/>
                <w:szCs w:val="19"/>
              </w:rPr>
            </w:pPr>
            <w:r>
              <w:rPr>
                <w:rFonts w:ascii="Times New Roman" w:hAnsi="Times New Roman" w:cs="Times New Roman"/>
                <w:color w:val="#000000"/>
                <w:sz w:val="19"/>
                <w:szCs w:val="19"/>
              </w:rPr>
              <w:t> Notion of standard. Notion of RP. RP abroad and in England. Stylistic and social independence of a standard. Kinds of RP</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Sociolinguistic variation of pronunciation.</w:t>
            </w:r>
          </w:p>
          <w:p>
            <w:pPr>
              <w:jc w:val="left"/>
              <w:spacing w:after="0" w:line="240" w:lineRule="auto"/>
              <w:rPr>
                <w:sz w:val="19"/>
                <w:szCs w:val="19"/>
              </w:rPr>
            </w:pPr>
            <w:r>
              <w:rPr>
                <w:rFonts w:ascii="Times New Roman" w:hAnsi="Times New Roman" w:cs="Times New Roman"/>
                <w:color w:val="#000000"/>
                <w:sz w:val="19"/>
                <w:szCs w:val="19"/>
              </w:rPr>
              <w:t> Notion of a dialect. Dialects and accents. A notion of a national language. Major Dialectal Areas. Geographical and social stratification of a dialect. Diglossia and bilinguism</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General characteristics of</w:t>
            </w:r>
          </w:p>
          <w:p>
            <w:pPr>
              <w:jc w:val="left"/>
              <w:spacing w:after="0" w:line="240" w:lineRule="auto"/>
              <w:rPr>
                <w:sz w:val="19"/>
                <w:szCs w:val="19"/>
              </w:rPr>
            </w:pPr>
            <w:r>
              <w:rPr>
                <w:rFonts w:ascii="Times New Roman" w:hAnsi="Times New Roman" w:cs="Times New Roman"/>
                <w:color w:val="#000000"/>
                <w:sz w:val="19"/>
                <w:szCs w:val="19"/>
              </w:rPr>
              <w:t> • West Country (South West England)</w:t>
            </w:r>
          </w:p>
          <w:p>
            <w:pPr>
              <w:jc w:val="left"/>
              <w:spacing w:after="0" w:line="240" w:lineRule="auto"/>
              <w:rPr>
                <w:sz w:val="19"/>
                <w:szCs w:val="19"/>
              </w:rPr>
            </w:pPr>
            <w:r>
              <w:rPr>
                <w:rFonts w:ascii="Times New Roman" w:hAnsi="Times New Roman" w:cs="Times New Roman"/>
                <w:color w:val="#000000"/>
                <w:sz w:val="19"/>
                <w:szCs w:val="19"/>
              </w:rPr>
              <w:t> • East Anglian</w:t>
            </w:r>
          </w:p>
          <w:p>
            <w:pPr>
              <w:jc w:val="left"/>
              <w:spacing w:after="0" w:line="240" w:lineRule="auto"/>
              <w:rPr>
                <w:sz w:val="19"/>
                <w:szCs w:val="19"/>
              </w:rPr>
            </w:pPr>
            <w:r>
              <w:rPr>
                <w:rFonts w:ascii="Times New Roman" w:hAnsi="Times New Roman" w:cs="Times New Roman"/>
                <w:color w:val="#000000"/>
                <w:sz w:val="19"/>
                <w:szCs w:val="19"/>
              </w:rPr>
              <w:t> • West Midlands (Black Country, Birmingham)</w:t>
            </w:r>
          </w:p>
          <w:p>
            <w:pPr>
              <w:jc w:val="left"/>
              <w:spacing w:after="0" w:line="240" w:lineRule="auto"/>
              <w:rPr>
                <w:sz w:val="19"/>
                <w:szCs w:val="19"/>
              </w:rPr>
            </w:pPr>
            <w:r>
              <w:rPr>
                <w:rFonts w:ascii="Times New Roman" w:hAnsi="Times New Roman" w:cs="Times New Roman"/>
                <w:color w:val="#000000"/>
                <w:sz w:val="19"/>
                <w:szCs w:val="19"/>
              </w:rPr>
              <w:t> • East Midlands</w:t>
            </w:r>
          </w:p>
          <w:p>
            <w:pPr>
              <w:jc w:val="left"/>
              <w:spacing w:after="0" w:line="240" w:lineRule="auto"/>
              <w:rPr>
                <w:sz w:val="19"/>
                <w:szCs w:val="19"/>
              </w:rPr>
            </w:pPr>
            <w:r>
              <w:rPr>
                <w:rFonts w:ascii="Times New Roman" w:hAnsi="Times New Roman" w:cs="Times New Roman"/>
                <w:color w:val="#000000"/>
                <w:sz w:val="19"/>
                <w:szCs w:val="19"/>
              </w:rPr>
              <w:t> • Liverpool and Wirral (Scouse)</w:t>
            </w:r>
          </w:p>
          <w:p>
            <w:pPr>
              <w:jc w:val="left"/>
              <w:spacing w:after="0" w:line="240" w:lineRule="auto"/>
              <w:rPr>
                <w:sz w:val="19"/>
                <w:szCs w:val="19"/>
              </w:rPr>
            </w:pPr>
            <w:r>
              <w:rPr>
                <w:rFonts w:ascii="Times New Roman" w:hAnsi="Times New Roman" w:cs="Times New Roman"/>
                <w:color w:val="#000000"/>
                <w:sz w:val="19"/>
                <w:szCs w:val="19"/>
              </w:rPr>
              <w:t> • Manchester (Mancunian) and other east Lancashire accents</w:t>
            </w:r>
          </w:p>
          <w:p>
            <w:pPr>
              <w:jc w:val="left"/>
              <w:spacing w:after="0" w:line="240" w:lineRule="auto"/>
              <w:rPr>
                <w:sz w:val="19"/>
                <w:szCs w:val="19"/>
              </w:rPr>
            </w:pPr>
            <w:r>
              <w:rPr>
                <w:rFonts w:ascii="Times New Roman" w:hAnsi="Times New Roman" w:cs="Times New Roman"/>
                <w:color w:val="#000000"/>
                <w:sz w:val="19"/>
                <w:szCs w:val="19"/>
              </w:rPr>
              <w:t> • Yorkshire (Varies significantly in each region.)</w:t>
            </w:r>
          </w:p>
          <w:p>
            <w:pPr>
              <w:jc w:val="left"/>
              <w:spacing w:after="0" w:line="240" w:lineRule="auto"/>
              <w:rPr>
                <w:sz w:val="19"/>
                <w:szCs w:val="19"/>
              </w:rPr>
            </w:pPr>
            <w:r>
              <w:rPr>
                <w:rFonts w:ascii="Times New Roman" w:hAnsi="Times New Roman" w:cs="Times New Roman"/>
                <w:color w:val="#000000"/>
                <w:sz w:val="19"/>
                <w:szCs w:val="19"/>
              </w:rPr>
              <w:t> • Newcastle (Geordie) and other northeast England accents</w:t>
            </w:r>
          </w:p>
          <w:p>
            <w:pPr>
              <w:jc w:val="left"/>
              <w:spacing w:after="0" w:line="240" w:lineRule="auto"/>
              <w:rPr>
                <w:sz w:val="19"/>
                <w:szCs w:val="19"/>
              </w:rPr>
            </w:pPr>
            <w:r>
              <w:rPr>
                <w:rFonts w:ascii="Times New Roman" w:hAnsi="Times New Roman" w:cs="Times New Roman"/>
                <w:color w:val="#000000"/>
                <w:sz w:val="19"/>
                <w:szCs w:val="19"/>
              </w:rPr>
              <w:t> A presentation using Microsoft Office software</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ПКО-1.1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Modern tendencies in RP.</w:t>
            </w:r>
          </w:p>
          <w:p>
            <w:pPr>
              <w:jc w:val="left"/>
              <w:spacing w:after="0" w:line="240" w:lineRule="auto"/>
              <w:rPr>
                <w:sz w:val="19"/>
                <w:szCs w:val="19"/>
              </w:rPr>
            </w:pPr>
            <w:r>
              <w:rPr>
                <w:rFonts w:ascii="Times New Roman" w:hAnsi="Times New Roman" w:cs="Times New Roman"/>
                <w:color w:val="#000000"/>
                <w:sz w:val="19"/>
                <w:szCs w:val="19"/>
              </w:rPr>
              <w:t> Sociolinguistic criterion . Ideal criterion. EFL teaching criterion. Changes from the early twentieth century. Changes in the mid twentieth century. Changes in the late twentieth century</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ПКО-1.2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917.57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Changes in RP: Transfer of the CLOTH set, change in the quality of the GOAT vowel, opening of /æ/, decline and disappearance of /ʊə/, drift from weak /ɪ/ to /ə/, yod coalescence, T glottalling, L vocalization.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917.57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Deviations from RP. Northern versions of the dialect . Southern varieties. h-dropping, glottal stop for intervocalic /t/, distinction between /w/ and /wh/, horse-hoarse merger. A presentation using Microsoft Office software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ПКО-1.1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Major English Dialects</w:t>
            </w:r>
          </w:p>
          <w:p>
            <w:pPr>
              <w:jc w:val="left"/>
              <w:spacing w:after="0" w:line="240" w:lineRule="auto"/>
              <w:rPr>
                <w:sz w:val="19"/>
                <w:szCs w:val="19"/>
              </w:rPr>
            </w:pPr>
            <w:r>
              <w:rPr>
                <w:rFonts w:ascii="Times New Roman" w:hAnsi="Times New Roman" w:cs="Times New Roman"/>
                <w:color w:val="#000000"/>
                <w:sz w:val="19"/>
                <w:szCs w:val="19"/>
              </w:rPr>
              <w:t> Origin, social and geographical stratification of Cockney. Vocal and consonantal system of Cockney. Origin, social and geographical stratification of Tyke. Vocal and consonantal system of Tyke. Origin, social and geographical stratification of Scouse. Vocal and consonantal system of Scouse.</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Origin, social and geographical stratification of Mancunian. Vocal and consonantal system of Mancunian. Origin, social and geographical stratification of Georgie. Vocal and consonantal system of Georgie. Origin, social and geographical stratification of Nothern dialects. Vocal and consonantal system of Nothern dialects.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Origin, social and geographical stratification of Scottish English. Vocal and consonantal system of Scottish English. Origin, social and geographical stratification of Welsh English. Vocal and consonantal system of Welsh English. Origin, social and geographical stratification of Irish English. Vocal and consonantal system of Irish English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917.57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American English.</w:t>
            </w:r>
          </w:p>
          <w:p>
            <w:pPr>
              <w:jc w:val="left"/>
              <w:spacing w:after="0" w:line="240" w:lineRule="auto"/>
              <w:rPr>
                <w:sz w:val="19"/>
                <w:szCs w:val="19"/>
              </w:rPr>
            </w:pPr>
            <w:r>
              <w:rPr>
                <w:rFonts w:ascii="Times New Roman" w:hAnsi="Times New Roman" w:cs="Times New Roman"/>
                <w:color w:val="#000000"/>
                <w:sz w:val="19"/>
                <w:szCs w:val="19"/>
              </w:rPr>
              <w:t> Origin and genesis. History of developement. Kinds of American English. Major American dialects</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The system of American consonants. The retroflex pronunciation of [r]. The pronunciation of [t]. T-glottalization. The pronunciation of [l].</w:t>
            </w:r>
          </w:p>
          <w:p>
            <w:pPr>
              <w:jc w:val="left"/>
              <w:spacing w:after="0" w:line="240" w:lineRule="auto"/>
              <w:rPr>
                <w:sz w:val="19"/>
                <w:szCs w:val="19"/>
              </w:rPr>
            </w:pPr>
            <w:r>
              <w:rPr>
                <w:rFonts w:ascii="Times New Roman" w:hAnsi="Times New Roman" w:cs="Times New Roman"/>
                <w:color w:val="#000000"/>
                <w:sz w:val="19"/>
                <w:szCs w:val="19"/>
              </w:rPr>
              <w:t> American vocalic system. Principles of division of vowels into long and short. Classification of vowels according to the stability of articulation. .GA front vowels. r-colored, mid-central  [зr], trap-bath split, back lingual open sound [a:] or [o:], yod-dropping. The qualities of GA diphthongs.</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Л2.3 Л2.2</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Accentuation and prosodic peculiarities of General American. French stress. Words ending in -ate and -atory, affixes -ary -ery -ory -bury, - berry, -mony, the placename component -bury, words ending in unstressed -ile.  A presentation using Microsoft Office software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Suprasegmental phonetics.</w:t>
            </w:r>
          </w:p>
          <w:p>
            <w:pPr>
              <w:jc w:val="left"/>
              <w:spacing w:after="0" w:line="240" w:lineRule="auto"/>
              <w:rPr>
                <w:sz w:val="19"/>
                <w:szCs w:val="19"/>
              </w:rPr>
            </w:pPr>
            <w:r>
              <w:rPr>
                <w:rFonts w:ascii="Times New Roman" w:hAnsi="Times New Roman" w:cs="Times New Roman"/>
                <w:color w:val="#000000"/>
                <w:sz w:val="19"/>
                <w:szCs w:val="19"/>
              </w:rPr>
              <w:t> Definition and development. Prosody and intonation. Functions of intonation. Structural components of prosody. Tone, tempo, rhythm, pausation. Phonetic suprasegmental structure. Acoustic attributes of prosody. Functions of intonation.</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 Л2.3</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Theories of syllable formation and syllable division. Peak of prominence. Arc of loudness by L. V. Shcherba. Notion of a syllable. Functions of a syllable. Rules of syllable division in English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The semantic function of the nucleus, prehead and head. The main attitudes conveyed by the main intonation contours. General account of O’Connor’s, Kingdon’s, and Palmer’s intonation systems.  A presentation using Microsoft Office software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ПКО-1.1 ОПК-8.1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Phonostylistics.</w:t>
            </w:r>
          </w:p>
          <w:p>
            <w:pPr>
              <w:jc w:val="left"/>
              <w:spacing w:after="0" w:line="240" w:lineRule="auto"/>
              <w:rPr>
                <w:sz w:val="19"/>
                <w:szCs w:val="19"/>
              </w:rPr>
            </w:pPr>
            <w:r>
              <w:rPr>
                <w:rFonts w:ascii="Times New Roman" w:hAnsi="Times New Roman" w:cs="Times New Roman"/>
                <w:color w:val="#000000"/>
                <w:sz w:val="19"/>
                <w:szCs w:val="19"/>
              </w:rPr>
              <w:t> Problems of Phonostylistics. Phonostylistics as a branch of phonetics. Definition of a a functional style. Extraling</w:t>
            </w:r>
          </w:p>
          <w:p>
            <w:pPr>
              <w:jc w:val="left"/>
              <w:spacing w:after="0" w:line="240" w:lineRule="auto"/>
              <w:rPr>
                <w:sz w:val="19"/>
                <w:szCs w:val="19"/>
              </w:rPr>
            </w:pPr>
            <w:r>
              <w:rPr>
                <w:rFonts w:ascii="Times New Roman" w:hAnsi="Times New Roman" w:cs="Times New Roman"/>
                <w:color w:val="#000000"/>
                <w:sz w:val="19"/>
                <w:szCs w:val="19"/>
              </w:rPr>
              <w:t> uistic situation and its components. Style forming and style modifying factors. Peculiarities of informational and publicistic styles. Peculiarities of declamatory and conversational styles</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ПКО-1.3 ОПК-8.1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 Л2.1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с оценкой /ЗачётСОц/</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ПКО-1.1 ПКО-1.2 ПКО-1.3 ОПК-8.1 ОПК-8.2 ОПК-8.3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Л1.1Л2.1 Л2.1 Л2.3 Л2.2</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Куликова И. С., Салмина Д.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Лингвистическая терминология в профессиональном аспекте: учебное пособие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2020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https://e.lanbook.com/bo ok/147342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Рубанова О.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Основы теоретической фонетики современного английского языка: учебное пособие для студентов 3 курса: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Ростов-на-Дону|Таганрог: Южный федеральный университет, 2017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page=book&amp;id=500009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Евстифеева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Теоретическая фонетика английского языка: лекции, семинары, упражнения: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page=book&amp;id=93443 неограниченный доступ для зарегистрированных пользователей</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Дубовский Ю. А., Докута Б. Б., Переяшкина Л.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Основы английской фонетики: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page=book&amp;id=57942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Чехович Ю. В., Беленькая О. С., Ивахненко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Методические рекомендации по эффективному внедрению и использованию системы «Антиплагиат.ВУЗ»</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2020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https://e.lanbook.com/bo ok/154156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Вестник Московского университета. Серия 9. Филология: журнал</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Государственный Университет, 2020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page=book&amp;id=600603 неограниченный доступ для зарегистрированных пользователей</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7.829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9"/>
        </w:trPr>
        <w:tc>
          <w:tcPr>
            <w:tcW w:w="4679" w:type="dxa"/>
          </w:tcPr>
          <w:p/>
        </w:tc>
        <w:tc>
          <w:tcPr>
            <w:tcW w:w="5104" w:type="dxa"/>
          </w:tcPr>
          <w:p/>
        </w:tc>
        <w:tc>
          <w:tcPr>
            <w:tcW w:w="993" w:type="dxa"/>
          </w:tcP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и практических занятий используется демонстрационное оборудование.</w:t>
            </w:r>
          </w:p>
        </w:tc>
      </w:tr>
      <w:tr>
        <w:trPr>
          <w:trHeight w:hRule="exact" w:val="277.8299"/>
        </w:trPr>
        <w:tc>
          <w:tcPr>
            <w:tcW w:w="4679" w:type="dxa"/>
          </w:tcPr>
          <w:p/>
        </w:tc>
        <w:tc>
          <w:tcPr>
            <w:tcW w:w="5104" w:type="dxa"/>
          </w:tcPr>
          <w:p/>
        </w:tc>
        <w:tc>
          <w:tcPr>
            <w:tcW w:w="993" w:type="dxa"/>
          </w:tcPr>
          <w:p/>
        </w:tc>
      </w:tr>
      <w:tr>
        <w:trPr>
          <w:trHeight w:hRule="exact" w:val="277.830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2022-2023_44_03_05_36-22-1-РИЯ_plx_Теоретическая фонетика английского языка</dc:title>
  <dc:creator>FastReport.NET</dc:creator>
</cp:coreProperties>
</file>