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91</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 Трудные случаи анализа. Понятие лексико-грамматического разряда.Собственные и нарицательные существительные. Одушевленные и неодушевленные существительные.Конкретные и абстрактные; единичные, вещественные, собирательные существительные. Категория рода. Категория числа.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 Трудные случаи анализа. Лексико- грамматические разряды прилагательных и их признаки. Полные и краткие формы качественных прилагательных.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вида глагола. Значение категорий вида(отношение действия к внутреннему пределу). Видовые корреляции(парные одновидовые и двувидовые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лица.  Значение форм лица. Употребление одних форм лица в значении других. Безличные глаголы, их семантические и грамматические особенности.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Деепричастия как часть речи. Наречные признаки деепричастий. Глагольные признаки деепричастий. Вид деепричастия. Значение относительного времени деепричастия. Норма употребления деепричастия. Образование деепричастий.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как часть речи. Семантика, образование, синтаксические функции наречий.  Разряды наречий по значению. Степени сравнения качественных наречий. Способы образования наречий. Переход различных частей  речи в наречия.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Семантика, деривационные связи, синтаксические функции слов категории состояния. Вопрос о категории состояния (Л.В.Щерба, В.В.Виноградов, Е.М.Галкина -Федорук, Грамматика 70-80). Морфологические и синтаксические признаки слов категории состояния. Разграничение омонимичных форм прилагательных, наречий и слов категории состояния.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Звукоподражание как часть речи. Грамматические особенности звукоподражаний. Связь звукоподражаний с другими частями речи.</w:t>
            </w:r>
          </w:p>
          <w:p>
            <w:pPr>
              <w:jc w:val="left"/>
              <w:spacing w:after="0" w:line="240" w:lineRule="auto"/>
              <w:rPr>
                <w:sz w:val="19"/>
                <w:szCs w:val="19"/>
              </w:rPr>
            </w:pPr>
            <w:r>
              <w:rPr>
                <w:rFonts w:ascii="Times New Roman" w:hAnsi="Times New Roman" w:cs="Times New Roman"/>
                <w:color w:val="#000000"/>
                <w:sz w:val="19"/>
                <w:szCs w:val="19"/>
              </w:rPr>
              <w:t> Семантика, происхождение, синтаксические функции звукоподражательных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Л1.5Л2.3 Л2.4 Л2.5Л3.1 Л3.2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97</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25</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2020-2021_44_03_05_36-20-1-РИЯZ_plx_Трудные случаи морфологического анализа</dc:title>
  <dc:creator>FastReport.NET</dc:creator>
</cp:coreProperties>
</file>