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Социальный аспект волонтерской деятельности. Социально-</w:t>
            </w:r>
          </w:p>
          <w:p>
            <w:pPr>
              <w:jc w:val="left"/>
              <w:spacing w:after="0" w:line="240" w:lineRule="auto"/>
              <w:rPr>
                <w:sz w:val="19"/>
                <w:szCs w:val="19"/>
              </w:rPr>
            </w:pPr>
            <w:r>
              <w:rPr>
                <w:rFonts w:ascii="Times New Roman" w:hAnsi="Times New Roman" w:cs="Times New Roman"/>
                <w:color w:val="#000000"/>
                <w:sz w:val="19"/>
                <w:szCs w:val="19"/>
              </w:rPr>
              <w:t> 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Л1.4Л2.1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Л1.6Л2.4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Л1.5Л2.2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Л1.5Л2.1 Л2.6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Социально-философские основания волонтёрской деятельности. Волонёрская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Профессионально важные личностные качества, умения и навыки волонтёра.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Основные компоненты психологической готовности к волонтерской деятельности.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Л1.3Л2.6 Л2.5</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pPr>
              <w:jc w:val="left"/>
              <w:spacing w:after="0" w:line="240" w:lineRule="auto"/>
              <w:rPr>
                <w:sz w:val="19"/>
                <w:szCs w:val="19"/>
              </w:rPr>
            </w:pPr>
            <w:r>
              <w:rPr>
                <w:rFonts w:ascii="Times New Roman" w:hAnsi="Times New Roman" w:cs="Times New Roman"/>
                <w:color w:val="#000000"/>
                <w:sz w:val="19"/>
                <w:szCs w:val="19"/>
              </w:rPr>
              <w:t> стрессоустойчивость, адаптационный потенциал.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Л1.2Л2.7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Л1.2Л2.6 Л2.5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Л1.5Л2.6 Л2.5</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Л1.4Л2.3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Стили общения.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Л1.6Л2.1 Л2.4</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Л1.5Л2.1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Л1.5Л2.1 Л2.5</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 Л1.2 Л1.6 Л1.3 Л1.5 Л1.4Л2.1 Л2.2 Л2.3 Л2.4 Л2.7 Л2.6 Л2.5</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2020-2021_44_03_05_36-20-1-РИЯ_plx_Практикум волонтерской деятельности</dc:title>
  <dc:creator>FastReport.NET</dc:creator>
</cp:coreProperties>
</file>