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520.55" w:type="dxa"/>
            <w:gridSpan w:val="7"/>
            <w:tcBorders>
</w:tcBorders>
            <w:shd w:val="clear" w:color="#000000" w:fill="#FFFFFF"/>
            <w:vAlign w:val="top"/>
            <w:tcMar>
              <w:left w:w="34" w:type="dxa"/>
              <w:right w:w="34" w:type="dxa"/>
            </w:tcMar>
          </w:tcPr>
          <w:p/>
        </w:tc>
        <w:tc>
          <w:tcPr>
            <w:tcW w:w="31"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Б1.О.01</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04"/>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2836" w:type="dxa"/>
          </w:tcPr>
          <w:p/>
        </w:tc>
        <w:tc>
          <w:tcPr>
            <w:tcW w:w="1844" w:type="dxa"/>
          </w:tcPr>
          <w:p/>
        </w:tc>
        <w:tc>
          <w:tcPr>
            <w:tcW w:w="5104" w:type="dxa"/>
          </w:tcPr>
          <w:p/>
        </w:tc>
        <w:tc>
          <w:tcPr>
            <w:tcW w:w="993" w:type="dxa"/>
          </w:tcPr>
          <w:p/>
        </w:tc>
      </w:tr>
      <w:tr>
        <w:trPr>
          <w:trHeight w:hRule="exact" w:val="416.74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Деньги, личные финансы, семейный бюджет, финансовый план.</w:t>
            </w:r>
          </w:p>
          <w:p>
            <w:pPr>
              <w:jc w:val="left"/>
              <w:spacing w:after="0" w:line="240" w:lineRule="auto"/>
              <w:rPr>
                <w:sz w:val="19"/>
                <w:szCs w:val="19"/>
              </w:rPr>
            </w:pPr>
            <w:r>
              <w:rPr>
                <w:rFonts w:ascii="Times New Roman" w:hAnsi="Times New Roman" w:cs="Times New Roman"/>
                <w:color w:val="#000000"/>
                <w:sz w:val="19"/>
                <w:szCs w:val="19"/>
              </w:rPr>
              <w:t> Человеческий капитал, виды денег,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возникновения банковского дела. Банковская система РФ. Депозиты.</w:t>
            </w:r>
          </w:p>
          <w:p>
            <w:pPr>
              <w:jc w:val="left"/>
              <w:spacing w:after="0" w:line="240" w:lineRule="auto"/>
              <w:rPr>
                <w:sz w:val="19"/>
                <w:szCs w:val="19"/>
              </w:rPr>
            </w:pPr>
            <w:r>
              <w:rPr>
                <w:rFonts w:ascii="Times New Roman" w:hAnsi="Times New Roman" w:cs="Times New Roman"/>
                <w:color w:val="#000000"/>
                <w:sz w:val="19"/>
                <w:szCs w:val="19"/>
              </w:rPr>
              <w:t>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Депозитный договор. Определение суммы процентов по депозитам. Проектно-исследовательская работа: "Банковские депозиты (вклады): за и против".</w:t>
            </w:r>
          </w:p>
          <w:p>
            <w:pPr>
              <w:jc w:val="left"/>
              <w:spacing w:after="0" w:line="240" w:lineRule="auto"/>
              <w:rPr>
                <w:sz w:val="19"/>
                <w:szCs w:val="19"/>
              </w:rPr>
            </w:pPr>
            <w:r>
              <w:rPr>
                <w:rFonts w:ascii="Times New Roman" w:hAnsi="Times New Roman" w:cs="Times New Roman"/>
                <w:color w:val="#000000"/>
                <w:sz w:val="19"/>
                <w:szCs w:val="19"/>
              </w:rPr>
              <w:t>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Кредит. Кредитный договор. Кредитная история. Коллекторские агентства.</w:t>
            </w:r>
          </w:p>
          <w:p>
            <w:pPr>
              <w:jc w:val="left"/>
              <w:spacing w:after="0" w:line="240" w:lineRule="auto"/>
              <w:rPr>
                <w:sz w:val="19"/>
                <w:szCs w:val="19"/>
              </w:rPr>
            </w:pPr>
            <w:r>
              <w:rPr>
                <w:rFonts w:ascii="Times New Roman" w:hAnsi="Times New Roman" w:cs="Times New Roman"/>
                <w:color w:val="#000000"/>
                <w:sz w:val="19"/>
                <w:szCs w:val="19"/>
              </w:rPr>
              <w:t>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кредитного договора. Расчет общей стоимости покупки при приобретении ее в кредит.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 Анализ финансовых рисков при заключении кредитного договора. Анализ преимуществ и недостатков краткосрочного и долгосрочного займов.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Обмен, перевод денег. Платежная система.</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Страхование РФ. Договор страхования. Страховые случаи.</w:t>
            </w:r>
          </w:p>
          <w:p>
            <w:pPr>
              <w:jc w:val="left"/>
              <w:spacing w:after="0" w:line="240" w:lineRule="auto"/>
              <w:rPr>
                <w:sz w:val="19"/>
                <w:szCs w:val="19"/>
              </w:rPr>
            </w:pPr>
            <w:r>
              <w:rPr>
                <w:rFonts w:ascii="Times New Roman" w:hAnsi="Times New Roman" w:cs="Times New Roman"/>
                <w:color w:val="#000000"/>
                <w:sz w:val="19"/>
                <w:szCs w:val="19"/>
              </w:rPr>
              <w:t> Понятие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w:t>
            </w:r>
          </w:p>
          <w:p>
            <w:pPr>
              <w:jc w:val="left"/>
              <w:spacing w:after="0" w:line="240" w:lineRule="auto"/>
              <w:rPr>
                <w:sz w:val="19"/>
                <w:szCs w:val="19"/>
              </w:rPr>
            </w:pPr>
            <w:r>
              <w:rPr>
                <w:rFonts w:ascii="Times New Roman" w:hAnsi="Times New Roman" w:cs="Times New Roman"/>
                <w:color w:val="#000000"/>
                <w:sz w:val="19"/>
                <w:szCs w:val="19"/>
              </w:rPr>
              <w:t>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w:t>
            </w:r>
          </w:p>
          <w:p>
            <w:pPr>
              <w:jc w:val="left"/>
              <w:spacing w:after="0" w:line="240" w:lineRule="auto"/>
              <w:rPr>
                <w:sz w:val="19"/>
                <w:szCs w:val="19"/>
              </w:rPr>
            </w:pPr>
            <w:r>
              <w:rPr>
                <w:rFonts w:ascii="Times New Roman" w:hAnsi="Times New Roman" w:cs="Times New Roman"/>
                <w:color w:val="#000000"/>
                <w:sz w:val="19"/>
                <w:szCs w:val="19"/>
              </w:rPr>
              <w:t> ответственность, страховой случай, страховой полис, страховая премия, страховой взнос, страховые продукты.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Заключение договора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Инвестиции.</w:t>
            </w:r>
          </w:p>
          <w:p>
            <w:pPr>
              <w:jc w:val="left"/>
              <w:spacing w:after="0" w:line="240" w:lineRule="auto"/>
              <w:rPr>
                <w:sz w:val="19"/>
                <w:szCs w:val="19"/>
              </w:rPr>
            </w:pPr>
            <w:r>
              <w:rPr>
                <w:rFonts w:ascii="Times New Roman" w:hAnsi="Times New Roman" w:cs="Times New Roman"/>
                <w:color w:val="#000000"/>
                <w:sz w:val="19"/>
                <w:szCs w:val="19"/>
              </w:rPr>
              <w:t>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 планом и отбор инструментов для ее реализации. Критический анализ интернет- 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213.7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pPr>
              <w:jc w:val="left"/>
              <w:spacing w:after="0" w:line="240" w:lineRule="auto"/>
              <w:rPr>
                <w:sz w:val="19"/>
                <w:szCs w:val="19"/>
              </w:rPr>
            </w:pPr>
            <w:r>
              <w:rPr>
                <w:rFonts w:ascii="Times New Roman" w:hAnsi="Times New Roman" w:cs="Times New Roman"/>
                <w:color w:val="#000000"/>
                <w:sz w:val="19"/>
                <w:szCs w:val="19"/>
              </w:rPr>
              <w:t>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владельца банковской карты.</w:t>
            </w:r>
          </w:p>
          <w:p>
            <w:pPr>
              <w:jc w:val="left"/>
              <w:spacing w:after="0" w:line="240" w:lineRule="auto"/>
              <w:rPr>
                <w:sz w:val="19"/>
                <w:szCs w:val="19"/>
              </w:rPr>
            </w:pPr>
            <w:r>
              <w:rPr>
                <w:rFonts w:ascii="Times New Roman" w:hAnsi="Times New Roman" w:cs="Times New Roman"/>
                <w:color w:val="#000000"/>
                <w:sz w:val="19"/>
                <w:szCs w:val="19"/>
              </w:rPr>
              <w:t> Подготовка к опросу, тестированию, подготовка докладов по всем темам практических занятий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Пенсия. Государственная пенсионная система в РФ.</w:t>
            </w:r>
          </w:p>
          <w:p>
            <w:pPr>
              <w:jc w:val="left"/>
              <w:spacing w:after="0" w:line="240" w:lineRule="auto"/>
              <w:rPr>
                <w:sz w:val="19"/>
                <w:szCs w:val="19"/>
              </w:rPr>
            </w:pPr>
            <w:r>
              <w:rPr>
                <w:rFonts w:ascii="Times New Roman" w:hAnsi="Times New Roman" w:cs="Times New Roman"/>
                <w:color w:val="#000000"/>
                <w:sz w:val="19"/>
                <w:szCs w:val="19"/>
              </w:rPr>
              <w:t> Понятие и значение пенсии,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Тренинг. Развитие навыков планирования и</w:t>
            </w:r>
          </w:p>
          <w:p>
            <w:pPr>
              <w:jc w:val="left"/>
              <w:spacing w:after="0" w:line="240" w:lineRule="auto"/>
              <w:rPr>
                <w:sz w:val="19"/>
                <w:szCs w:val="19"/>
              </w:rPr>
            </w:pPr>
            <w:r>
              <w:rPr>
                <w:rFonts w:ascii="Times New Roman" w:hAnsi="Times New Roman" w:cs="Times New Roman"/>
                <w:color w:val="#000000"/>
                <w:sz w:val="19"/>
                <w:szCs w:val="19"/>
              </w:rPr>
              <w:t> прогнозирования. Доклад на тему – «Изменения в пенсионном законодательстве».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Налоги. Налоговый кодекс РФ.</w:t>
            </w:r>
          </w:p>
          <w:p>
            <w:pPr>
              <w:jc w:val="left"/>
              <w:spacing w:after="0" w:line="240" w:lineRule="auto"/>
              <w:rPr>
                <w:sz w:val="19"/>
                <w:szCs w:val="19"/>
              </w:rPr>
            </w:pPr>
            <w:r>
              <w:rPr>
                <w:rFonts w:ascii="Times New Roman" w:hAnsi="Times New Roman" w:cs="Times New Roman"/>
                <w:color w:val="#000000"/>
                <w:sz w:val="19"/>
                <w:szCs w:val="19"/>
              </w:rPr>
              <w:t>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махинации.</w:t>
            </w:r>
          </w:p>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Изучение отличий добросовестных инвестиционных проектов от мошеннических схем. Правила личной финансовой безопасности.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аспекты составлены бизнес плана. Бизнес-план. Финансовый раздел бизнес-плана. Расчет основных финансово- экономических показателей.</w:t>
            </w:r>
          </w:p>
          <w:p>
            <w:pPr>
              <w:jc w:val="left"/>
              <w:spacing w:after="0" w:line="240" w:lineRule="auto"/>
              <w:rPr>
                <w:sz w:val="19"/>
                <w:szCs w:val="19"/>
              </w:rPr>
            </w:pPr>
            <w:r>
              <w:rPr>
                <w:rFonts w:ascii="Times New Roman" w:hAnsi="Times New Roman" w:cs="Times New Roman"/>
                <w:color w:val="#000000"/>
                <w:sz w:val="19"/>
                <w:szCs w:val="19"/>
              </w:rPr>
              <w:t>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Доклад на тему «Понятие бизнес-плана и его значение».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Цифровая финансовая грамотность. Цифровые финансовые продукты и услуги. Цифровые бонусы. Финансовые инновации. Будущее биометрии.</w:t>
            </w:r>
          </w:p>
          <w:p>
            <w:pPr>
              <w:jc w:val="left"/>
              <w:spacing w:after="0" w:line="240" w:lineRule="auto"/>
              <w:rPr>
                <w:sz w:val="19"/>
                <w:szCs w:val="19"/>
              </w:rPr>
            </w:pPr>
            <w:r>
              <w:rPr>
                <w:rFonts w:ascii="Times New Roman" w:hAnsi="Times New Roman" w:cs="Times New Roman"/>
                <w:color w:val="#000000"/>
                <w:sz w:val="19"/>
                <w:szCs w:val="19"/>
              </w:rPr>
              <w:t> Защита прав и законных интересов потребителей финансовых услуг. Финансовые мошенничества. Права потребителей финансовых услуг. Контрольные и надзорные организации.</w:t>
            </w:r>
          </w:p>
          <w:p>
            <w:pPr>
              <w:jc w:val="left"/>
              <w:spacing w:after="0" w:line="240" w:lineRule="auto"/>
              <w:rPr>
                <w:sz w:val="19"/>
                <w:szCs w:val="19"/>
              </w:rPr>
            </w:pPr>
            <w:r>
              <w:rPr>
                <w:rFonts w:ascii="Times New Roman" w:hAnsi="Times New Roman" w:cs="Times New Roman"/>
                <w:color w:val="#000000"/>
                <w:sz w:val="19"/>
                <w:szCs w:val="19"/>
              </w:rPr>
              <w:t> Финансовые инструменты для малого и среднего предпринимательства. Малое и среднее предпринимательство. Инструменты финансирования бизнеса.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295"/>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2022-2023_44_03_05_24-22-1-МФ_plx_Основы финансовой грамотности</dc:title>
  <dc:creator>FastReport.NET</dc:creator>
</cp:coreProperties>
</file>