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2410"/>
        <w:gridCol w:w="142"/>
        <w:gridCol w:w="992"/>
        <w:gridCol w:w="283"/>
        <w:gridCol w:w="709"/>
        <w:gridCol w:w="142"/>
        <w:gridCol w:w="142"/>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277"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0"/>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520.55" w:type="dxa"/>
            <w:gridSpan w:val="7"/>
            <w:tcBorders>
</w:tcBorders>
            <w:shd w:val="clear" w:color="#000000" w:fill="#FFFFFF"/>
            <w:vAlign w:val="top"/>
            <w:tcMar>
              <w:left w:w="34" w:type="dxa"/>
              <w:right w:w="34" w:type="dxa"/>
            </w:tcMar>
          </w:tcPr>
          <w:p/>
        </w:tc>
        <w:tc>
          <w:tcPr>
            <w:tcW w:w="31" w:type="dxa"/>
          </w:tcPr>
          <w:p/>
        </w:tc>
        <w:tc>
          <w:tcPr>
            <w:tcW w:w="1277"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экон. наук, Доц., Лысенко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843"/>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Б1.О.01</w:t>
            </w:r>
          </w:p>
        </w:tc>
      </w:tr>
      <w:tr>
        <w:trPr>
          <w:trHeight w:hRule="exact" w:val="277.83"/>
        </w:trPr>
        <w:tc>
          <w:tcPr>
            <w:tcW w:w="2836" w:type="dxa"/>
          </w:tcPr>
          <w:p/>
        </w:tc>
        <w:tc>
          <w:tcPr>
            <w:tcW w:w="1844"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138.9147"/>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правовые нормы для защиты прав потребителей финансовых услуг.</w:t>
            </w:r>
          </w:p>
          <w:p>
            <w:pPr>
              <w:jc w:val="left"/>
              <w:spacing w:after="0" w:line="240" w:lineRule="auto"/>
              <w:rPr>
                <w:sz w:val="19"/>
                <w:szCs w:val="19"/>
              </w:rPr>
            </w:pPr>
            <w:r>
              <w:rPr>
                <w:rFonts w:ascii="Times New Roman" w:hAnsi="Times New Roman" w:cs="Times New Roman"/>
                <w:color w:val="#000000"/>
                <w:sz w:val="19"/>
                <w:szCs w:val="19"/>
              </w:rPr>
              <w:t> - признаки мошенничества на финансовом рынке в отношении физических лиц.</w:t>
            </w:r>
          </w:p>
          <w:p>
            <w:pPr>
              <w:jc w:val="left"/>
              <w:spacing w:after="0" w:line="240" w:lineRule="auto"/>
              <w:rPr>
                <w:sz w:val="19"/>
                <w:szCs w:val="19"/>
              </w:rPr>
            </w:pPr>
            <w:r>
              <w:rPr>
                <w:rFonts w:ascii="Times New Roman" w:hAnsi="Times New Roman" w:cs="Times New Roman"/>
                <w:color w:val="#000000"/>
                <w:sz w:val="19"/>
                <w:szCs w:val="19"/>
              </w:rPr>
              <w:t> - основные понятия и категории экономики, экономические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расчетно–кассовые операции, пенсионное обеспечение, страхование и его виды, налоги.</w:t>
            </w:r>
          </w:p>
          <w:p>
            <w:pPr>
              <w:jc w:val="left"/>
              <w:spacing w:after="0" w:line="240" w:lineRule="auto"/>
              <w:rPr>
                <w:sz w:val="19"/>
                <w:szCs w:val="19"/>
              </w:rPr>
            </w:pPr>
            <w:r>
              <w:rPr>
                <w:rFonts w:ascii="Times New Roman" w:hAnsi="Times New Roman" w:cs="Times New Roman"/>
                <w:color w:val="#000000"/>
                <w:sz w:val="19"/>
                <w:szCs w:val="19"/>
              </w:rPr>
              <w:t> - базовые экономические инструменты, необходимые для управления личными финансами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оценивать и принимать ответственность за рациональные решения и их возможные последствия для себя, своего окружения и общества в целом.</w:t>
            </w:r>
          </w:p>
          <w:p>
            <w:pPr>
              <w:jc w:val="left"/>
              <w:spacing w:after="0" w:line="240" w:lineRule="auto"/>
              <w:rPr>
                <w:sz w:val="19"/>
                <w:szCs w:val="19"/>
              </w:rPr>
            </w:pPr>
            <w:r>
              <w:rPr>
                <w:rFonts w:ascii="Times New Roman" w:hAnsi="Times New Roman" w:cs="Times New Roman"/>
                <w:color w:val="#000000"/>
                <w:sz w:val="19"/>
                <w:szCs w:val="19"/>
              </w:rPr>
              <w:t> -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pPr>
              <w:jc w:val="left"/>
              <w:spacing w:after="0" w:line="240" w:lineRule="auto"/>
              <w:rPr>
                <w:sz w:val="19"/>
                <w:szCs w:val="19"/>
              </w:rPr>
            </w:pPr>
            <w:r>
              <w:rPr>
                <w:rFonts w:ascii="Times New Roman" w:hAnsi="Times New Roman" w:cs="Times New Roman"/>
                <w:color w:val="#000000"/>
                <w:sz w:val="19"/>
                <w:szCs w:val="19"/>
              </w:rPr>
              <w:t> -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оценивать влияние инфляции на доходность финансовых активов;</w:t>
            </w:r>
          </w:p>
          <w:p>
            <w:pPr>
              <w:jc w:val="left"/>
              <w:spacing w:after="0" w:line="240" w:lineRule="auto"/>
              <w:rPr>
                <w:sz w:val="19"/>
                <w:szCs w:val="19"/>
              </w:rPr>
            </w:pPr>
            <w:r>
              <w:rPr>
                <w:rFonts w:ascii="Times New Roman" w:hAnsi="Times New Roman" w:cs="Times New Roman"/>
                <w:color w:val="#000000"/>
                <w:sz w:val="19"/>
                <w:szCs w:val="19"/>
              </w:rPr>
              <w:t> - использовать приобретенные знания для выполнения практических заданий, основанных на ситуациях, связанных с покупкой и продажей валюты;</w:t>
            </w:r>
          </w:p>
          <w:p>
            <w:pPr>
              <w:jc w:val="left"/>
              <w:spacing w:after="0" w:line="240" w:lineRule="auto"/>
              <w:rPr>
                <w:sz w:val="19"/>
                <w:szCs w:val="19"/>
              </w:rPr>
            </w:pPr>
            <w:r>
              <w:rPr>
                <w:rFonts w:ascii="Times New Roman" w:hAnsi="Times New Roman" w:cs="Times New Roman"/>
                <w:color w:val="#000000"/>
                <w:sz w:val="19"/>
                <w:szCs w:val="19"/>
              </w:rPr>
              <w:t> - определять влияние факторов, воздействующих на валютный курс;</w:t>
            </w:r>
          </w:p>
          <w:p>
            <w:pPr>
              <w:jc w:val="left"/>
              <w:spacing w:after="0" w:line="240" w:lineRule="auto"/>
              <w:rPr>
                <w:sz w:val="19"/>
                <w:szCs w:val="19"/>
              </w:rPr>
            </w:pPr>
            <w:r>
              <w:rPr>
                <w:rFonts w:ascii="Times New Roman" w:hAnsi="Times New Roman" w:cs="Times New Roman"/>
                <w:color w:val="#000000"/>
                <w:sz w:val="19"/>
                <w:szCs w:val="19"/>
              </w:rPr>
              <w:t> -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pPr>
              <w:jc w:val="left"/>
              <w:spacing w:after="0" w:line="240" w:lineRule="auto"/>
              <w:rPr>
                <w:sz w:val="19"/>
                <w:szCs w:val="19"/>
              </w:rPr>
            </w:pPr>
            <w:r>
              <w:rPr>
                <w:rFonts w:ascii="Times New Roman" w:hAnsi="Times New Roman" w:cs="Times New Roman"/>
                <w:color w:val="#000000"/>
                <w:sz w:val="19"/>
                <w:szCs w:val="19"/>
              </w:rPr>
              <w:t> - применять полученные теоретические и практические знания для определения экономически рационального поведения;</w:t>
            </w:r>
          </w:p>
          <w:p>
            <w:pPr>
              <w:jc w:val="left"/>
              <w:spacing w:after="0" w:line="240" w:lineRule="auto"/>
              <w:rPr>
                <w:sz w:val="19"/>
                <w:szCs w:val="19"/>
              </w:rPr>
            </w:pPr>
            <w:r>
              <w:rPr>
                <w:rFonts w:ascii="Times New Roman" w:hAnsi="Times New Roman" w:cs="Times New Roman"/>
                <w:color w:val="#000000"/>
                <w:sz w:val="19"/>
                <w:szCs w:val="19"/>
              </w:rPr>
              <w:t> - применять основные экономические знания для принятия грамотных решений с целью управления личными финансами.</w:t>
            </w: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выбора из предлагаемого перечня оптимальных источников экономической информации;</w:t>
            </w:r>
          </w:p>
          <w:p>
            <w:pPr>
              <w:jc w:val="left"/>
              <w:spacing w:after="0" w:line="240" w:lineRule="auto"/>
              <w:rPr>
                <w:sz w:val="19"/>
                <w:szCs w:val="19"/>
              </w:rPr>
            </w:pPr>
            <w:r>
              <w:rPr>
                <w:rFonts w:ascii="Times New Roman" w:hAnsi="Times New Roman" w:cs="Times New Roman"/>
                <w:color w:val="#000000"/>
                <w:sz w:val="19"/>
                <w:szCs w:val="19"/>
              </w:rPr>
              <w:t> - навыками оценки экономических действий субъекта в качестве потребителя,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навыками принятия финансовых решений относительно личных финансов с учетом экономических последствий.</w:t>
            </w:r>
          </w:p>
        </w:tc>
      </w:tr>
      <w:tr>
        <w:trPr>
          <w:trHeight w:hRule="exact" w:val="277.8304"/>
        </w:trPr>
        <w:tc>
          <w:tcPr>
            <w:tcW w:w="2836" w:type="dxa"/>
          </w:tcPr>
          <w:p/>
        </w:tc>
        <w:tc>
          <w:tcPr>
            <w:tcW w:w="1844"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43"/>
        </w:trPr>
        <w:tc>
          <w:tcPr>
            <w:tcW w:w="2836" w:type="dxa"/>
          </w:tcPr>
          <w:p/>
        </w:tc>
        <w:tc>
          <w:tcPr>
            <w:tcW w:w="1844" w:type="dxa"/>
          </w:tcPr>
          <w:p/>
        </w:tc>
        <w:tc>
          <w:tcPr>
            <w:tcW w:w="5104" w:type="dxa"/>
          </w:tcPr>
          <w:p/>
        </w:tc>
        <w:tc>
          <w:tcPr>
            <w:tcW w:w="993" w:type="dxa"/>
          </w:tcPr>
          <w:p/>
        </w:tc>
      </w:tr>
      <w:tr>
        <w:trPr>
          <w:trHeight w:hRule="exact" w:val="416.74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 Депозит. Кредит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Деньги, личные финансы, семейный бюджет, финансовый план.</w:t>
            </w:r>
          </w:p>
          <w:p>
            <w:pPr>
              <w:jc w:val="left"/>
              <w:spacing w:after="0" w:line="240" w:lineRule="auto"/>
              <w:rPr>
                <w:sz w:val="19"/>
                <w:szCs w:val="19"/>
              </w:rPr>
            </w:pPr>
            <w:r>
              <w:rPr>
                <w:rFonts w:ascii="Times New Roman" w:hAnsi="Times New Roman" w:cs="Times New Roman"/>
                <w:color w:val="#000000"/>
                <w:sz w:val="19"/>
                <w:szCs w:val="19"/>
              </w:rPr>
              <w:t> Человеческий капитал, виды денег,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pPr>
              <w:jc w:val="left"/>
              <w:spacing w:after="0" w:line="240" w:lineRule="auto"/>
              <w:rPr>
                <w:sz w:val="19"/>
                <w:szCs w:val="19"/>
              </w:rPr>
            </w:pPr>
            <w:r>
              <w:rPr>
                <w:rFonts w:ascii="Times New Roman" w:hAnsi="Times New Roman" w:cs="Times New Roman"/>
                <w:color w:val="#000000"/>
                <w:sz w:val="19"/>
                <w:szCs w:val="19"/>
              </w:rPr>
              <w:t> баланса личного (семейного) бюджета, анализ и коррекция личного финансового плана.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возникновения банковского дела. Банковская система РФ. Депозиты.</w:t>
            </w:r>
          </w:p>
          <w:p>
            <w:pPr>
              <w:jc w:val="left"/>
              <w:spacing w:after="0" w:line="240" w:lineRule="auto"/>
              <w:rPr>
                <w:sz w:val="19"/>
                <w:szCs w:val="19"/>
              </w:rPr>
            </w:pPr>
            <w:r>
              <w:rPr>
                <w:rFonts w:ascii="Times New Roman" w:hAnsi="Times New Roman" w:cs="Times New Roman"/>
                <w:color w:val="#000000"/>
                <w:sz w:val="19"/>
                <w:szCs w:val="19"/>
              </w:rPr>
              <w:t>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Депозитный договор. Определение суммы процентов по депозитам. Проектно-исследовательская работа: "Банковские депозиты (вклады): за и против".</w:t>
            </w:r>
          </w:p>
          <w:p>
            <w:pPr>
              <w:jc w:val="left"/>
              <w:spacing w:after="0" w:line="240" w:lineRule="auto"/>
              <w:rPr>
                <w:sz w:val="19"/>
                <w:szCs w:val="19"/>
              </w:rPr>
            </w:pPr>
            <w:r>
              <w:rPr>
                <w:rFonts w:ascii="Times New Roman" w:hAnsi="Times New Roman" w:cs="Times New Roman"/>
                <w:color w:val="#000000"/>
                <w:sz w:val="19"/>
                <w:szCs w:val="19"/>
              </w:rPr>
              <w:t>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pPr>
              <w:jc w:val="left"/>
              <w:spacing w:after="0" w:line="240" w:lineRule="auto"/>
              <w:rPr>
                <w:sz w:val="19"/>
                <w:szCs w:val="19"/>
              </w:rPr>
            </w:pPr>
            <w:r>
              <w:rPr>
                <w:rFonts w:ascii="Times New Roman" w:hAnsi="Times New Roman" w:cs="Times New Roman"/>
                <w:color w:val="#000000"/>
                <w:sz w:val="19"/>
                <w:szCs w:val="19"/>
              </w:rPr>
              <w:t> зависимости от финансовых целей заемщика.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Кредит. Кредитный договор. Кредитная история. Коллекторские агентства.</w:t>
            </w:r>
          </w:p>
          <w:p>
            <w:pPr>
              <w:jc w:val="left"/>
              <w:spacing w:after="0" w:line="240" w:lineRule="auto"/>
              <w:rPr>
                <w:sz w:val="19"/>
                <w:szCs w:val="19"/>
              </w:rPr>
            </w:pPr>
            <w:r>
              <w:rPr>
                <w:rFonts w:ascii="Times New Roman" w:hAnsi="Times New Roman" w:cs="Times New Roman"/>
                <w:color w:val="#000000"/>
                <w:sz w:val="19"/>
                <w:szCs w:val="19"/>
              </w:rPr>
              <w:t> 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кредитного договора. Расчет общей стоимости покупки при приобретении ее в кредит.</w:t>
            </w:r>
          </w:p>
          <w:p>
            <w:pPr>
              <w:jc w:val="left"/>
              <w:spacing w:after="0" w:line="240" w:lineRule="auto"/>
              <w:rPr>
                <w:sz w:val="19"/>
                <w:szCs w:val="19"/>
              </w:rPr>
            </w:pPr>
            <w:r>
              <w:rPr>
                <w:rFonts w:ascii="Times New Roman" w:hAnsi="Times New Roman" w:cs="Times New Roman"/>
                <w:color w:val="#000000"/>
                <w:sz w:val="19"/>
                <w:szCs w:val="19"/>
              </w:rPr>
              <w:t> 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 Анализ финансовых рисков при заключении кредитного договора. Анализ преимуществ и недостатков краткосрочного и долгосрочного займов.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Расчетно-кассовые операции. Обмен, перевод денег. Платежная система.</w:t>
            </w:r>
          </w:p>
          <w:p>
            <w:pPr>
              <w:jc w:val="left"/>
              <w:spacing w:after="0" w:line="240" w:lineRule="auto"/>
              <w:rPr>
                <w:sz w:val="19"/>
                <w:szCs w:val="19"/>
              </w:rPr>
            </w:pPr>
            <w:r>
              <w:rPr>
                <w:rFonts w:ascii="Times New Roman" w:hAnsi="Times New Roman" w:cs="Times New Roman"/>
                <w:color w:val="#000000"/>
                <w:sz w:val="19"/>
                <w:szCs w:val="19"/>
              </w:rPr>
              <w:t> 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Страхование РФ. Договор страхования. Страховые случаи.</w:t>
            </w:r>
          </w:p>
          <w:p>
            <w:pPr>
              <w:jc w:val="left"/>
              <w:spacing w:after="0" w:line="240" w:lineRule="auto"/>
              <w:rPr>
                <w:sz w:val="19"/>
                <w:szCs w:val="19"/>
              </w:rPr>
            </w:pPr>
            <w:r>
              <w:rPr>
                <w:rFonts w:ascii="Times New Roman" w:hAnsi="Times New Roman" w:cs="Times New Roman"/>
                <w:color w:val="#000000"/>
                <w:sz w:val="19"/>
                <w:szCs w:val="19"/>
              </w:rPr>
              <w:t> Понятие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w:t>
            </w:r>
          </w:p>
          <w:p>
            <w:pPr>
              <w:jc w:val="left"/>
              <w:spacing w:after="0" w:line="240" w:lineRule="auto"/>
              <w:rPr>
                <w:sz w:val="19"/>
                <w:szCs w:val="19"/>
              </w:rPr>
            </w:pPr>
            <w:r>
              <w:rPr>
                <w:rFonts w:ascii="Times New Roman" w:hAnsi="Times New Roman" w:cs="Times New Roman"/>
                <w:color w:val="#000000"/>
                <w:sz w:val="19"/>
                <w:szCs w:val="19"/>
              </w:rPr>
              <w:t>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w:t>
            </w:r>
          </w:p>
          <w:p>
            <w:pPr>
              <w:jc w:val="left"/>
              <w:spacing w:after="0" w:line="240" w:lineRule="auto"/>
              <w:rPr>
                <w:sz w:val="19"/>
                <w:szCs w:val="19"/>
              </w:rPr>
            </w:pPr>
            <w:r>
              <w:rPr>
                <w:rFonts w:ascii="Times New Roman" w:hAnsi="Times New Roman" w:cs="Times New Roman"/>
                <w:color w:val="#000000"/>
                <w:sz w:val="19"/>
                <w:szCs w:val="19"/>
              </w:rPr>
              <w:t> ответственность, страховой случай, страховой полис, страховая премия, страховой взнос, страховые продукты.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Заключение договора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Инвестиции.</w:t>
            </w:r>
          </w:p>
          <w:p>
            <w:pPr>
              <w:jc w:val="left"/>
              <w:spacing w:after="0" w:line="240" w:lineRule="auto"/>
              <w:rPr>
                <w:sz w:val="19"/>
                <w:szCs w:val="19"/>
              </w:rPr>
            </w:pPr>
            <w:r>
              <w:rPr>
                <w:rFonts w:ascii="Times New Roman" w:hAnsi="Times New Roman" w:cs="Times New Roman"/>
                <w:color w:val="#000000"/>
                <w:sz w:val="19"/>
                <w:szCs w:val="19"/>
              </w:rPr>
              <w:t>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 планом и отбор инструментов для ее реализации. Критический анализ интернет- трейдинга — инструмент для профессионалов и ловушка для любителей.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213.7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pPr>
              <w:jc w:val="left"/>
              <w:spacing w:after="0" w:line="240" w:lineRule="auto"/>
              <w:rPr>
                <w:sz w:val="19"/>
                <w:szCs w:val="19"/>
              </w:rPr>
            </w:pPr>
            <w:r>
              <w:rPr>
                <w:rFonts w:ascii="Times New Roman" w:hAnsi="Times New Roman" w:cs="Times New Roman"/>
                <w:color w:val="#000000"/>
                <w:sz w:val="19"/>
                <w:szCs w:val="19"/>
              </w:rPr>
              <w:t>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w:t>
            </w:r>
          </w:p>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владельца банковской карты.</w:t>
            </w:r>
          </w:p>
          <w:p>
            <w:pPr>
              <w:jc w:val="left"/>
              <w:spacing w:after="0" w:line="240" w:lineRule="auto"/>
              <w:rPr>
                <w:sz w:val="19"/>
                <w:szCs w:val="19"/>
              </w:rPr>
            </w:pPr>
            <w:r>
              <w:rPr>
                <w:rFonts w:ascii="Times New Roman" w:hAnsi="Times New Roman" w:cs="Times New Roman"/>
                <w:color w:val="#000000"/>
                <w:sz w:val="19"/>
                <w:szCs w:val="19"/>
              </w:rPr>
              <w:t> Подготовка к опросу, тестированию, подготовка докладов по всем темам практических занятий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Пенсии. Налоги. Признаки финансовых пирамид и защита от мошеннических действий на финансовом рынке.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Пенсия. Государственная пенсионная система в РФ.</w:t>
            </w:r>
          </w:p>
          <w:p>
            <w:pPr>
              <w:jc w:val="left"/>
              <w:spacing w:after="0" w:line="240" w:lineRule="auto"/>
              <w:rPr>
                <w:sz w:val="19"/>
                <w:szCs w:val="19"/>
              </w:rPr>
            </w:pPr>
            <w:r>
              <w:rPr>
                <w:rFonts w:ascii="Times New Roman" w:hAnsi="Times New Roman" w:cs="Times New Roman"/>
                <w:color w:val="#000000"/>
                <w:sz w:val="19"/>
                <w:szCs w:val="19"/>
              </w:rPr>
              <w:t> Понятие и значение пенсии,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Сравнительный анализ доступных финансовых инструментов, используемых для формирования пенсионных накоплений. Тренинг. Развитие навыков планирования и</w:t>
            </w:r>
          </w:p>
          <w:p>
            <w:pPr>
              <w:jc w:val="left"/>
              <w:spacing w:after="0" w:line="240" w:lineRule="auto"/>
              <w:rPr>
                <w:sz w:val="19"/>
                <w:szCs w:val="19"/>
              </w:rPr>
            </w:pPr>
            <w:r>
              <w:rPr>
                <w:rFonts w:ascii="Times New Roman" w:hAnsi="Times New Roman" w:cs="Times New Roman"/>
                <w:color w:val="#000000"/>
                <w:sz w:val="19"/>
                <w:szCs w:val="19"/>
              </w:rPr>
              <w:t> прогнозирования. Доклад на тему – «Изменения в пенсионном законодательстве».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Налоги. Налоговый кодекс РФ.</w:t>
            </w:r>
          </w:p>
          <w:p>
            <w:pPr>
              <w:jc w:val="left"/>
              <w:spacing w:after="0" w:line="240" w:lineRule="auto"/>
              <w:rPr>
                <w:sz w:val="19"/>
                <w:szCs w:val="19"/>
              </w:rPr>
            </w:pPr>
            <w:r>
              <w:rPr>
                <w:rFonts w:ascii="Times New Roman" w:hAnsi="Times New Roman" w:cs="Times New Roman"/>
                <w:color w:val="#000000"/>
                <w:sz w:val="19"/>
                <w:szCs w:val="19"/>
              </w:rPr>
              <w:t>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махинации.</w:t>
            </w:r>
          </w:p>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Изучение отличий добросовестных инвестиционных проектов от мошеннических схем. Правила личной финансовой безопасности.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аспекты составлены бизнес плана. Бизнес-план. Финансовый раздел бизнес-плана. Расчет основных финансово- экономических показателей.</w:t>
            </w:r>
          </w:p>
          <w:p>
            <w:pPr>
              <w:jc w:val="left"/>
              <w:spacing w:after="0" w:line="240" w:lineRule="auto"/>
              <w:rPr>
                <w:sz w:val="19"/>
                <w:szCs w:val="19"/>
              </w:rPr>
            </w:pPr>
            <w:r>
              <w:rPr>
                <w:rFonts w:ascii="Times New Roman" w:hAnsi="Times New Roman" w:cs="Times New Roman"/>
                <w:color w:val="#000000"/>
                <w:sz w:val="19"/>
                <w:szCs w:val="19"/>
              </w:rPr>
              <w:t> Понятие бизнес, стартап, бизнес-план, бизнес-идея, планирование рабочего времени, венчурист.</w:t>
            </w:r>
          </w:p>
          <w:p>
            <w:pPr>
              <w:jc w:val="left"/>
              <w:spacing w:after="0" w:line="240" w:lineRule="auto"/>
              <w:rPr>
                <w:sz w:val="19"/>
                <w:szCs w:val="19"/>
              </w:rPr>
            </w:pPr>
            <w:r>
              <w:rPr>
                <w:rFonts w:ascii="Times New Roman" w:hAnsi="Times New Roman" w:cs="Times New Roman"/>
                <w:color w:val="#000000"/>
                <w:sz w:val="19"/>
                <w:szCs w:val="19"/>
              </w:rPr>
              <w:t> 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 Доклад на тему «Понятие бизнес-плана и его значение».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Цифровая финансовая грамотность. Цифровые финансовые продукты и услуги. Цифровые бонусы. Финансовые инновации. Будущее биометрии.</w:t>
            </w:r>
          </w:p>
          <w:p>
            <w:pPr>
              <w:jc w:val="left"/>
              <w:spacing w:after="0" w:line="240" w:lineRule="auto"/>
              <w:rPr>
                <w:sz w:val="19"/>
                <w:szCs w:val="19"/>
              </w:rPr>
            </w:pPr>
            <w:r>
              <w:rPr>
                <w:rFonts w:ascii="Times New Roman" w:hAnsi="Times New Roman" w:cs="Times New Roman"/>
                <w:color w:val="#000000"/>
                <w:sz w:val="19"/>
                <w:szCs w:val="19"/>
              </w:rPr>
              <w:t> Защита прав и законных интересов потребителей финансовых услуг. Финансовые мошенничества. Права потребителей финансовых услуг. Контрольные и надзорные организации.</w:t>
            </w:r>
          </w:p>
          <w:p>
            <w:pPr>
              <w:jc w:val="left"/>
              <w:spacing w:after="0" w:line="240" w:lineRule="auto"/>
              <w:rPr>
                <w:sz w:val="19"/>
                <w:szCs w:val="19"/>
              </w:rPr>
            </w:pPr>
            <w:r>
              <w:rPr>
                <w:rFonts w:ascii="Times New Roman" w:hAnsi="Times New Roman" w:cs="Times New Roman"/>
                <w:color w:val="#000000"/>
                <w:sz w:val="19"/>
                <w:szCs w:val="19"/>
              </w:rPr>
              <w:t> Финансовые инструменты для малого и среднего предпринимательства. Малое и среднее предпринимательство. Инструменты финансирования бизнеса.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295"/>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по дисциплине «Основы финансовой грамотности»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ru/101483.html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Учебно-методическое пособие по дисциплине «Основы финансовой грамотности»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ru/101492.html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Экономистъ,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http://www.cbr.ru - официальный сайт Банка России.</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http://www.minfin.ru - Министерство финансов России</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www.nalog.ru – Федеральная налоговая служба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www.pfrf.ru – Пенсионный фонд</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www.rospotrebnadzor.ru - Роспотребнадзор</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http://www.moex.com – Официальный сайт Московской биржи</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http://bankir.ru - Информационное агентство о банковском бизнесе</w:t>
            </w:r>
          </w:p>
        </w:tc>
      </w:tr>
      <w:tr>
        <w:trPr>
          <w:trHeight w:hRule="exact" w:val="138.915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2022-2023_44_03_05_24-21-2-МФ_plx_Основы финансовой грамотности</dc:title>
  <dc:creator>FastReport.NET</dc:creator>
</cp:coreProperties>
</file>