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471"/>
        <w:gridCol w:w="184"/>
        <w:gridCol w:w="287"/>
        <w:gridCol w:w="988"/>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288" w:type="dxa"/>
          </w:tcPr>
          <w:p/>
        </w:tc>
        <w:tc>
          <w:tcPr>
            <w:tcW w:w="9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4838.4"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9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9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9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9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472" w:type="dxa"/>
          </w:tcPr>
          <w:p/>
        </w:tc>
        <w:tc>
          <w:tcPr>
            <w:tcW w:w="185" w:type="dxa"/>
          </w:tcPr>
          <w:p/>
        </w:tc>
        <w:tc>
          <w:tcPr>
            <w:tcW w:w="288" w:type="dxa"/>
          </w:tcPr>
          <w:p/>
        </w:tc>
        <w:tc>
          <w:tcPr>
            <w:tcW w:w="9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144.4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особенности базовых национальных ценностей, на основе которых осуществляется воспитание обучающихся посредством изучения истории цивилизаций</w:t>
            </w:r>
          </w:p>
          <w:p>
            <w:pPr>
              <w:jc w:val="left"/>
              <w:spacing w:after="0" w:line="240" w:lineRule="auto"/>
              <w:rPr>
                <w:sz w:val="19"/>
                <w:szCs w:val="19"/>
              </w:rPr>
            </w:pPr>
            <w:r>
              <w:rPr>
                <w:rFonts w:ascii="Times New Roman" w:hAnsi="Times New Roman" w:cs="Times New Roman"/>
                <w:color w:val="#000000"/>
                <w:sz w:val="19"/>
                <w:szCs w:val="19"/>
              </w:rPr>
              <w:t>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социально-культурные основы развития античных цивилизаций на территории Европы для формирования у обучающихся гражданской позиции,</w:t>
            </w:r>
          </w:p>
          <w:p>
            <w:pPr>
              <w:jc w:val="left"/>
              <w:spacing w:after="0" w:line="240" w:lineRule="auto"/>
              <w:rPr>
                <w:sz w:val="19"/>
                <w:szCs w:val="19"/>
              </w:rPr>
            </w:pPr>
            <w:r>
              <w:rPr>
                <w:rFonts w:ascii="Times New Roman" w:hAnsi="Times New Roman" w:cs="Times New Roman"/>
                <w:color w:val="#000000"/>
                <w:sz w:val="19"/>
                <w:szCs w:val="19"/>
              </w:rPr>
              <w:t>   толерантности и навыков поведения в мультикультурном обществе современности;</w:t>
            </w:r>
          </w:p>
          <w:p>
            <w:pPr>
              <w:jc w:val="left"/>
              <w:spacing w:after="0" w:line="240" w:lineRule="auto"/>
              <w:rPr>
                <w:sz w:val="19"/>
                <w:szCs w:val="19"/>
              </w:rPr>
            </w:pPr>
            <w:r>
              <w:rPr>
                <w:rFonts w:ascii="Times New Roman" w:hAnsi="Times New Roman" w:cs="Times New Roman"/>
                <w:color w:val="#000000"/>
                <w:sz w:val="19"/>
                <w:szCs w:val="19"/>
              </w:rPr>
              <w:t> - содержание истории Древней Греции и связанной с ней истории Древнего Рима, их сложившихся этнокультурных и этнорелигиозных общностей;</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об этапах политического и общественного развития стран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достижения культуры античной Греции и Рима для уважительного отношения к их историческому пути;</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конструктивного взаимодействия с людьми в процессе совместного изучения истории Древней</w:t>
            </w:r>
          </w:p>
          <w:p>
            <w:pPr>
              <w:jc w:val="left"/>
              <w:spacing w:after="0" w:line="240" w:lineRule="auto"/>
              <w:rPr>
                <w:sz w:val="19"/>
                <w:szCs w:val="19"/>
              </w:rPr>
            </w:pPr>
            <w:r>
              <w:rPr>
                <w:rFonts w:ascii="Times New Roman" w:hAnsi="Times New Roman" w:cs="Times New Roman"/>
                <w:color w:val="#000000"/>
                <w:sz w:val="19"/>
                <w:szCs w:val="19"/>
              </w:rPr>
              <w:t>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условия сознательного выбора своей гражданской позиции в результате изучения античной истории Греции и Рима.</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3364.2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процессе учебно-воспитательной работы с обучающимися;</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w:t>
            </w:r>
          </w:p>
          <w:p>
            <w:pPr>
              <w:jc w:val="left"/>
              <w:spacing w:after="0" w:line="240" w:lineRule="auto"/>
              <w:rPr>
                <w:sz w:val="19"/>
                <w:szCs w:val="19"/>
              </w:rPr>
            </w:pPr>
            <w:r>
              <w:rPr>
                <w:rFonts w:ascii="Times New Roman" w:hAnsi="Times New Roman" w:cs="Times New Roman"/>
                <w:color w:val="#000000"/>
                <w:sz w:val="19"/>
                <w:szCs w:val="19"/>
              </w:rPr>
              <w:t>   устройстве и развитии, исходя из позиции толерантности и своей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в поликультурных социумах античной Греции и Рима с учетом их региональной специфики;</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социокультурные различия общественных групп, существовавших в цивилизациях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уважительно относиться к научным концепциям и научным историческим школам,  сложившимся в отечественном и мировом антиковедении;</w:t>
            </w:r>
          </w:p>
          <w:p>
            <w:pPr>
              <w:jc w:val="left"/>
              <w:spacing w:after="0" w:line="240" w:lineRule="auto"/>
              <w:rPr>
                <w:sz w:val="19"/>
                <w:szCs w:val="19"/>
              </w:rPr>
            </w:pPr>
            <w:r>
              <w:rPr>
                <w:rFonts w:ascii="Times New Roman" w:hAnsi="Times New Roman" w:cs="Times New Roman"/>
                <w:color w:val="#000000"/>
                <w:sz w:val="19"/>
                <w:szCs w:val="19"/>
              </w:rPr>
              <w:t> - конструктивно взаимодействовать с людьми с учетом их социокультурных особенностей в процессе их ознакомления с историей античной Греции и Италии;</w:t>
            </w:r>
          </w:p>
          <w:p>
            <w:pPr>
              <w:jc w:val="left"/>
              <w:spacing w:after="0" w:line="240" w:lineRule="auto"/>
              <w:rPr>
                <w:sz w:val="19"/>
                <w:szCs w:val="19"/>
              </w:rPr>
            </w:pPr>
            <w:r>
              <w:rPr>
                <w:rFonts w:ascii="Times New Roman" w:hAnsi="Times New Roman" w:cs="Times New Roman"/>
                <w:color w:val="#000000"/>
                <w:sz w:val="19"/>
                <w:szCs w:val="19"/>
              </w:rPr>
              <w:t> - сознательно определять и выбирать свои ценностные ориентиры и гражданскую позицию в отношении изученных цивилизаций античной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485.18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применения знаний по истории Древней Греции и Древнего Рима в учебно-воспитательной деятельности;</w:t>
            </w:r>
          </w:p>
          <w:p>
            <w:pPr>
              <w:jc w:val="left"/>
              <w:spacing w:after="0" w:line="240" w:lineRule="auto"/>
              <w:rPr>
                <w:sz w:val="19"/>
                <w:szCs w:val="19"/>
              </w:rPr>
            </w:pPr>
            <w:r>
              <w:rPr>
                <w:rFonts w:ascii="Times New Roman" w:hAnsi="Times New Roman" w:cs="Times New Roman"/>
                <w:color w:val="#000000"/>
                <w:sz w:val="19"/>
                <w:szCs w:val="19"/>
              </w:rPr>
              <w:t> - компаративного анализа общественных, политических и культурных отношений, сложившихся в античную эпоху для формирования у обучающихся</w:t>
            </w:r>
          </w:p>
          <w:p>
            <w:pPr>
              <w:jc w:val="left"/>
              <w:spacing w:after="0" w:line="240" w:lineRule="auto"/>
              <w:rPr>
                <w:sz w:val="19"/>
                <w:szCs w:val="19"/>
              </w:rPr>
            </w:pPr>
            <w:r>
              <w:rPr>
                <w:rFonts w:ascii="Times New Roman" w:hAnsi="Times New Roman" w:cs="Times New Roman"/>
                <w:color w:val="#000000"/>
                <w:sz w:val="19"/>
                <w:szCs w:val="19"/>
              </w:rPr>
              <w:t>   толерантности и гражданской позиции в отношении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сравнительно-исторического анализа разнообразных путей социокультурного и политического развития античной цивилизованной Европы;</w:t>
            </w:r>
          </w:p>
          <w:p>
            <w:pPr>
              <w:jc w:val="left"/>
              <w:spacing w:after="0" w:line="240" w:lineRule="auto"/>
              <w:rPr>
                <w:sz w:val="19"/>
                <w:szCs w:val="19"/>
              </w:rPr>
            </w:pPr>
            <w:r>
              <w:rPr>
                <w:rFonts w:ascii="Times New Roman" w:hAnsi="Times New Roman" w:cs="Times New Roman"/>
                <w:color w:val="#000000"/>
                <w:sz w:val="19"/>
                <w:szCs w:val="19"/>
              </w:rPr>
              <w:t> - осмысления социально-культурных различий общественных групп, существовавших в Древней Греции и Древнем Риме;</w:t>
            </w:r>
          </w:p>
          <w:p>
            <w:pPr>
              <w:jc w:val="left"/>
              <w:spacing w:after="0" w:line="240" w:lineRule="auto"/>
              <w:rPr>
                <w:sz w:val="19"/>
                <w:szCs w:val="19"/>
              </w:rPr>
            </w:pPr>
            <w:r>
              <w:rPr>
                <w:rFonts w:ascii="Times New Roman" w:hAnsi="Times New Roman" w:cs="Times New Roman"/>
                <w:color w:val="#000000"/>
                <w:sz w:val="19"/>
                <w:szCs w:val="19"/>
              </w:rPr>
              <w:t> - уважительного отношения к достижениям культуры цивилизаций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 положительного взаимодействия с людьми в процессе их приобщения к истории античных цивилизаций Европы;</w:t>
            </w:r>
          </w:p>
          <w:p>
            <w:pPr>
              <w:jc w:val="left"/>
              <w:spacing w:after="0" w:line="240" w:lineRule="auto"/>
              <w:rPr>
                <w:sz w:val="19"/>
                <w:szCs w:val="19"/>
              </w:rPr>
            </w:pPr>
            <w:r>
              <w:rPr>
                <w:rFonts w:ascii="Times New Roman" w:hAnsi="Times New Roman" w:cs="Times New Roman"/>
                <w:color w:val="#000000"/>
                <w:sz w:val="19"/>
                <w:szCs w:val="19"/>
              </w:rPr>
              <w:t> - осознанного выбора ценностных ориентиров и гражданской позиции посредством исследования истории античной Европы.</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«Эгейский мир в III – II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Древний Крит, Микены, Троя. Открытие Минойской цивилизации, деятельность А. Эванса, Г. Шлимана, М. Вентриса и Д. Чэдвика. Кикладская культура и открытия П. Маринатоса. Ахейская Греция II тыс. до н.э. Троянская война.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работа с конспектами лекций, проработка текстового материала из хрестоматии, написание конспекта, подготовка рефератов и докладов, написание эссе.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УК-5.1 УК- 5.2 УК-5.3 УК-5.4 УК- 5.5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Л2.2 Л2.3 Л2.4Л3.1 Л3.2 Л3.3 Л3.4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44.03.05.23-22-1-ИОZS.plx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4679" w:type="dxa"/>
          </w:tcPr>
          <w:p/>
        </w:tc>
        <w:tc>
          <w:tcPr>
            <w:tcW w:w="5104" w:type="dxa"/>
          </w:tcPr>
          <w:p/>
        </w:tc>
        <w:tc>
          <w:tcPr>
            <w:tcW w:w="993" w:type="dxa"/>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2022-2023_44_03_05_23-22-1-ИОZS_plx_История Древней Греции и Древнего Рима</dc:title>
  <dc:creator>FastReport.NET</dc:creator>
</cp:coreProperties>
</file>