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теоретические проблемы историографии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XI – IX вв. до н.э.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«Темные века» или «гомеровский период». «Илиада» и «Одиссея» как исторический источник.  Политический строй «гомеровского» общества. Олимпийская религия греков, мифология, истоки древнегреческой литературы.</w:t>
            </w:r>
          </w:p>
          <w:p>
            <w:pPr>
              <w:jc w:val="left"/>
              <w:spacing w:after="0" w:line="240" w:lineRule="auto"/>
              <w:rPr>
                <w:sz w:val="19"/>
                <w:szCs w:val="19"/>
              </w:rPr>
            </w:pPr>
            <w:r>
              <w:rPr>
                <w:rFonts w:ascii="Times New Roman" w:hAnsi="Times New Roman" w:cs="Times New Roman"/>
                <w:color w:val="#000000"/>
                <w:sz w:val="19"/>
                <w:szCs w:val="19"/>
              </w:rPr>
              <w:t> Древняя Аттика (VIII – VI вв. до н.э.). Общество, власть, социально-экономические отношения. Килонова смута в Афинах. Законодательство Драконта. Реформы Солона. «Золотой век» Писистрата. Демократизация афинского общества: реформы Клисфена. Культура Древней Греции периода архаики.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«Возвышение и упадок полиса Фивы в классический период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самостоятельное изучение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ранней Империи (эпоха принципата)».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Рим в I - II в. Оформление системы принципата. Внешняя и внутренняя политика Рима при Антонинах. Гражданское самосознание античного Рима. Досуг и частная жизнь римлян. Провинциальное управление в Древнем Риме.</w:t>
            </w:r>
          </w:p>
          <w:p>
            <w:pPr>
              <w:jc w:val="left"/>
              <w:spacing w:after="0" w:line="240" w:lineRule="auto"/>
              <w:rPr>
                <w:sz w:val="19"/>
                <w:szCs w:val="19"/>
              </w:rPr>
            </w:pPr>
            <w:r>
              <w:rPr>
                <w:rFonts w:ascii="Times New Roman" w:hAnsi="Times New Roman" w:cs="Times New Roman"/>
                <w:color w:val="#000000"/>
                <w:sz w:val="19"/>
                <w:szCs w:val="19"/>
              </w:rPr>
              <w:t> Рим в первой половине III в. Реформы в области государственного управления императора Септимия Севера. Правовая система Древнего Рима. Внутренняя и внешняя политика римского государства при Северах.</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Империи (I в. до н.э. – V в.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Римская империя в I в. Принципат Августа. Римское государство в период династии Юлиев – Клавдиев. Гражданская война 68 – 69 гг. Правление Флавиев и Антонинов: основы внутренней и внешней политики.</w:t>
            </w:r>
          </w:p>
          <w:p>
            <w:pPr>
              <w:jc w:val="left"/>
              <w:spacing w:after="0" w:line="240" w:lineRule="auto"/>
              <w:rPr>
                <w:sz w:val="19"/>
                <w:szCs w:val="19"/>
              </w:rPr>
            </w:pPr>
            <w:r>
              <w:rPr>
                <w:rFonts w:ascii="Times New Roman" w:hAnsi="Times New Roman" w:cs="Times New Roman"/>
                <w:color w:val="#000000"/>
                <w:sz w:val="19"/>
                <w:szCs w:val="19"/>
              </w:rPr>
              <w:t> Доминат как социально-политическая система.  Римская империя в период военных диктатур III в. Социально- экономическая ситуация в римских провинциях в середине III в. Политика государства в религиозном вопросе при Константине Великом. Императорская власть и христианство в Древнем Риме. Социально-политические критерии домината.</w:t>
            </w:r>
          </w:p>
          <w:p>
            <w:pPr>
              <w:jc w:val="left"/>
              <w:spacing w:after="0" w:line="240" w:lineRule="auto"/>
              <w:rPr>
                <w:sz w:val="19"/>
                <w:szCs w:val="19"/>
              </w:rPr>
            </w:pPr>
            <w:r>
              <w:rPr>
                <w:rFonts w:ascii="Times New Roman" w:hAnsi="Times New Roman" w:cs="Times New Roman"/>
                <w:color w:val="#000000"/>
                <w:sz w:val="19"/>
                <w:szCs w:val="19"/>
              </w:rPr>
              <w:t> Римская империя во второй половине IV – V вв. Рим в период II династии Флавиев. Вектор социальной политики государства при преемниках Константина Великого. Реформы  Флавия Клавдия Юлиана. Римская империя в период правления Валентиниано-Феодосианской династии. Внешняя политика империи в середине и второй половине IV в. Феодосий Великий. Историческое значение римской цивилизации.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2022-2023_44_03_05_23-22-1-ИО_plx_История Древней Греции и Древнего Рима</dc:title>
  <dc:creator>FastReport.NET</dc:creator>
</cp:coreProperties>
</file>