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История Древней Греции и Древнего Рима</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44.03.05.23 История и Обществознание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371"/>
        <w:gridCol w:w="471"/>
        <w:gridCol w:w="184"/>
        <w:gridCol w:w="287"/>
        <w:gridCol w:w="988"/>
        <w:gridCol w:w="3827"/>
        <w:gridCol w:w="709"/>
        <w:gridCol w:w="284"/>
      </w:tblGrid>
      <w:tr>
        <w:trPr>
          <w:trHeight w:hRule="exact" w:val="555.66"/>
        </w:trPr>
        <w:tc>
          <w:tcPr>
            <w:tcW w:w="4692.75" w:type="dxa"/>
            <w:gridSpan w:val="10"/>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288" w:type="dxa"/>
          </w:tcPr>
          <w:p/>
        </w:tc>
        <w:tc>
          <w:tcPr>
            <w:tcW w:w="989"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4838.4" w:type="dxa"/>
            <w:gridSpan w:val="10"/>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957.6"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9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957.6"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9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61</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61</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9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989"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989" w:type="dxa"/>
          </w:tcPr>
          <w:p/>
        </w:tc>
        <w:tc>
          <w:tcPr>
            <w:tcW w:w="3828" w:type="dxa"/>
          </w:tcPr>
          <w:p/>
        </w:tc>
        <w:tc>
          <w:tcPr>
            <w:tcW w:w="710" w:type="dxa"/>
          </w:tcPr>
          <w:p/>
        </w:tc>
        <w:tc>
          <w:tcPr>
            <w:tcW w:w="285" w:type="dxa"/>
          </w:tcPr>
          <w:p/>
        </w:tc>
      </w:tr>
      <w:tr>
        <w:trPr>
          <w:trHeight w:hRule="exact" w:val="955.7938"/>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Качевский Павел Сергеевич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студентов систематизированных знаний и представлений об истории развития народов древней Европы, создавших высокоразвитые цивилизации Древней Греции и Древнего Рима.</w:t>
            </w:r>
          </w:p>
        </w:tc>
      </w:tr>
      <w:tr>
        <w:trPr>
          <w:trHeight w:hRule="exact" w:val="277.83"/>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УК-5.1:Воспринимает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697.808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УК-5.2:Анализирует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УК-5.3:Демонстрирует уважительное отношение к историческому наследию и социокультурным традициям своего Отечества</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УК-5.4:Конструктивно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УК-5.5:Сознательно выбирает ценностные ориентиры и гражданскую позицию; аргументированно обсуждает и решает проблемы мировоззренческого, общественного и личностного характера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ОПК-4.1:Знает и понимает особенности базовых национальных ценностей, на основе которых осуществляется духовно-нравственное воспитание обучающихся</w:t>
            </w:r>
          </w:p>
        </w:tc>
      </w:tr>
      <w:tr>
        <w:trPr>
          <w:trHeight w:hRule="exact" w:val="697.809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ОПК-4.2:Демонстрирует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3144.4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особенности базовых национальных ценностей, на основе которых осуществляется воспитание обучающихся посредством изучения истории цивилизаций</w:t>
            </w:r>
          </w:p>
          <w:p>
            <w:pPr>
              <w:jc w:val="left"/>
              <w:spacing w:after="0" w:line="240" w:lineRule="auto"/>
              <w:rPr>
                <w:sz w:val="19"/>
                <w:szCs w:val="19"/>
              </w:rPr>
            </w:pPr>
            <w:r>
              <w:rPr>
                <w:rFonts w:ascii="Times New Roman" w:hAnsi="Times New Roman" w:cs="Times New Roman"/>
                <w:color w:val="#000000"/>
                <w:sz w:val="19"/>
                <w:szCs w:val="19"/>
              </w:rPr>
              <w:t>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социально-культурные основы развития античных цивилизаций на территории Европы для формирования у обучающихся гражданской позиции,</w:t>
            </w:r>
          </w:p>
          <w:p>
            <w:pPr>
              <w:jc w:val="left"/>
              <w:spacing w:after="0" w:line="240" w:lineRule="auto"/>
              <w:rPr>
                <w:sz w:val="19"/>
                <w:szCs w:val="19"/>
              </w:rPr>
            </w:pPr>
            <w:r>
              <w:rPr>
                <w:rFonts w:ascii="Times New Roman" w:hAnsi="Times New Roman" w:cs="Times New Roman"/>
                <w:color w:val="#000000"/>
                <w:sz w:val="19"/>
                <w:szCs w:val="19"/>
              </w:rPr>
              <w:t>   толерантности и навыков поведения в мультикультурном обществе современности;</w:t>
            </w:r>
          </w:p>
          <w:p>
            <w:pPr>
              <w:jc w:val="left"/>
              <w:spacing w:after="0" w:line="240" w:lineRule="auto"/>
              <w:rPr>
                <w:sz w:val="19"/>
                <w:szCs w:val="19"/>
              </w:rPr>
            </w:pPr>
            <w:r>
              <w:rPr>
                <w:rFonts w:ascii="Times New Roman" w:hAnsi="Times New Roman" w:cs="Times New Roman"/>
                <w:color w:val="#000000"/>
                <w:sz w:val="19"/>
                <w:szCs w:val="19"/>
              </w:rPr>
              <w:t> - содержание истории Древней Греции и связанной с ней истории Древнего Рима, их сложившихся этнокультурных и этнорелигиозных общностей;</w:t>
            </w:r>
          </w:p>
          <w:p>
            <w:pPr>
              <w:jc w:val="left"/>
              <w:spacing w:after="0" w:line="240" w:lineRule="auto"/>
              <w:rPr>
                <w:sz w:val="19"/>
                <w:szCs w:val="19"/>
              </w:rPr>
            </w:pPr>
            <w:r>
              <w:rPr>
                <w:rFonts w:ascii="Times New Roman" w:hAnsi="Times New Roman" w:cs="Times New Roman"/>
                <w:color w:val="#000000"/>
                <w:sz w:val="19"/>
                <w:szCs w:val="19"/>
              </w:rPr>
              <w:t> - научные представления об этапах политического и общественного развития стран античной цивилизованной Европы;</w:t>
            </w:r>
          </w:p>
          <w:p>
            <w:pPr>
              <w:jc w:val="left"/>
              <w:spacing w:after="0" w:line="240" w:lineRule="auto"/>
              <w:rPr>
                <w:sz w:val="19"/>
                <w:szCs w:val="19"/>
              </w:rPr>
            </w:pPr>
            <w:r>
              <w:rPr>
                <w:rFonts w:ascii="Times New Roman" w:hAnsi="Times New Roman" w:cs="Times New Roman"/>
                <w:color w:val="#000000"/>
                <w:sz w:val="19"/>
                <w:szCs w:val="19"/>
              </w:rPr>
              <w:t> - достижения культуры античной Греции и Рима для уважительного отношения к их историческому пути;</w:t>
            </w:r>
          </w:p>
          <w:p>
            <w:pPr>
              <w:jc w:val="left"/>
              <w:spacing w:after="0" w:line="240" w:lineRule="auto"/>
              <w:rPr>
                <w:sz w:val="19"/>
                <w:szCs w:val="19"/>
              </w:rPr>
            </w:pPr>
            <w:r>
              <w:rPr>
                <w:rFonts w:ascii="Times New Roman" w:hAnsi="Times New Roman" w:cs="Times New Roman"/>
                <w:color w:val="#000000"/>
                <w:sz w:val="19"/>
                <w:szCs w:val="19"/>
              </w:rPr>
              <w:t> - общенаучные принципы и методы конструктивного взаимодействия с людьми в процессе совместного изучения истории Древней</w:t>
            </w:r>
          </w:p>
          <w:p>
            <w:pPr>
              <w:jc w:val="left"/>
              <w:spacing w:after="0" w:line="240" w:lineRule="auto"/>
              <w:rPr>
                <w:sz w:val="19"/>
                <w:szCs w:val="19"/>
              </w:rPr>
            </w:pPr>
            <w:r>
              <w:rPr>
                <w:rFonts w:ascii="Times New Roman" w:hAnsi="Times New Roman" w:cs="Times New Roman"/>
                <w:color w:val="#000000"/>
                <w:sz w:val="19"/>
                <w:szCs w:val="19"/>
              </w:rPr>
              <w:t>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условия сознательного выбора своей гражданской позиции в результате изучения античной истории Греции и Рима.</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3364.24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применять знания по истории Древней Греции и Древнего Рима в процессе учебно-воспитательной работы с обучающимися;</w:t>
            </w:r>
          </w:p>
          <w:p>
            <w:pPr>
              <w:jc w:val="left"/>
              <w:spacing w:after="0" w:line="240" w:lineRule="auto"/>
              <w:rPr>
                <w:sz w:val="19"/>
                <w:szCs w:val="19"/>
              </w:rPr>
            </w:pPr>
            <w:r>
              <w:rPr>
                <w:rFonts w:ascii="Times New Roman" w:hAnsi="Times New Roman" w:cs="Times New Roman"/>
                <w:color w:val="#000000"/>
                <w:sz w:val="19"/>
                <w:szCs w:val="19"/>
              </w:rPr>
              <w:t> - выделять системные характеристики античного общества Греции и Рима, его структуру и функции, в том числе специфические  черты в   социальном</w:t>
            </w:r>
          </w:p>
          <w:p>
            <w:pPr>
              <w:jc w:val="left"/>
              <w:spacing w:after="0" w:line="240" w:lineRule="auto"/>
              <w:rPr>
                <w:sz w:val="19"/>
                <w:szCs w:val="19"/>
              </w:rPr>
            </w:pPr>
            <w:r>
              <w:rPr>
                <w:rFonts w:ascii="Times New Roman" w:hAnsi="Times New Roman" w:cs="Times New Roman"/>
                <w:color w:val="#000000"/>
                <w:sz w:val="19"/>
                <w:szCs w:val="19"/>
              </w:rPr>
              <w:t>   устройстве и развитии, исходя из позиции толерантности и своей гражданской позиции;</w:t>
            </w:r>
          </w:p>
          <w:p>
            <w:pPr>
              <w:jc w:val="left"/>
              <w:spacing w:after="0" w:line="240" w:lineRule="auto"/>
              <w:rPr>
                <w:sz w:val="19"/>
                <w:szCs w:val="19"/>
              </w:rPr>
            </w:pPr>
            <w:r>
              <w:rPr>
                <w:rFonts w:ascii="Times New Roman" w:hAnsi="Times New Roman" w:cs="Times New Roman"/>
                <w:color w:val="#000000"/>
                <w:sz w:val="19"/>
                <w:szCs w:val="19"/>
              </w:rPr>
              <w:t> - объяснять основные модели общественного развития в поликультурных социумах античной Греции и Рима с учетом их региональной специфики;</w:t>
            </w:r>
          </w:p>
          <w:p>
            <w:pPr>
              <w:jc w:val="left"/>
              <w:spacing w:after="0" w:line="240" w:lineRule="auto"/>
              <w:rPr>
                <w:sz w:val="19"/>
                <w:szCs w:val="19"/>
              </w:rPr>
            </w:pPr>
            <w:r>
              <w:rPr>
                <w:rFonts w:ascii="Times New Roman" w:hAnsi="Times New Roman" w:cs="Times New Roman"/>
                <w:color w:val="#000000"/>
                <w:sz w:val="19"/>
                <w:szCs w:val="19"/>
              </w:rPr>
              <w:t> - сравнивать, анализировать социокультурные различия общественных групп, существовавших в цивилизациях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уважительно относиться к научным концепциям и научным историческим школам,  сложившимся в отечественном и мировом антиковедении;</w:t>
            </w:r>
          </w:p>
          <w:p>
            <w:pPr>
              <w:jc w:val="left"/>
              <w:spacing w:after="0" w:line="240" w:lineRule="auto"/>
              <w:rPr>
                <w:sz w:val="19"/>
                <w:szCs w:val="19"/>
              </w:rPr>
            </w:pPr>
            <w:r>
              <w:rPr>
                <w:rFonts w:ascii="Times New Roman" w:hAnsi="Times New Roman" w:cs="Times New Roman"/>
                <w:color w:val="#000000"/>
                <w:sz w:val="19"/>
                <w:szCs w:val="19"/>
              </w:rPr>
              <w:t> - конструктивно взаимодействовать с людьми с учетом их социокультурных особенностей в процессе их ознакомления с историей античной Греции и Италии;</w:t>
            </w:r>
          </w:p>
          <w:p>
            <w:pPr>
              <w:jc w:val="left"/>
              <w:spacing w:after="0" w:line="240" w:lineRule="auto"/>
              <w:rPr>
                <w:sz w:val="19"/>
                <w:szCs w:val="19"/>
              </w:rPr>
            </w:pPr>
            <w:r>
              <w:rPr>
                <w:rFonts w:ascii="Times New Roman" w:hAnsi="Times New Roman" w:cs="Times New Roman"/>
                <w:color w:val="#000000"/>
                <w:sz w:val="19"/>
                <w:szCs w:val="19"/>
              </w:rPr>
              <w:t> - сознательно определять и выбирать свои ценностные ориентиры и гражданскую позицию в отношении изученных цивилизаций античной Европы.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485.182"/>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применения знаний по истории Древней Греции и Древнего Рима в учебно-воспитательной деятельности;</w:t>
            </w:r>
          </w:p>
          <w:p>
            <w:pPr>
              <w:jc w:val="left"/>
              <w:spacing w:after="0" w:line="240" w:lineRule="auto"/>
              <w:rPr>
                <w:sz w:val="19"/>
                <w:szCs w:val="19"/>
              </w:rPr>
            </w:pPr>
            <w:r>
              <w:rPr>
                <w:rFonts w:ascii="Times New Roman" w:hAnsi="Times New Roman" w:cs="Times New Roman"/>
                <w:color w:val="#000000"/>
                <w:sz w:val="19"/>
                <w:szCs w:val="19"/>
              </w:rPr>
              <w:t> - компаративного анализа общественных, политических и культурных отношений, сложившихся в античную эпоху для формирования у обучающихся</w:t>
            </w:r>
          </w:p>
          <w:p>
            <w:pPr>
              <w:jc w:val="left"/>
              <w:spacing w:after="0" w:line="240" w:lineRule="auto"/>
              <w:rPr>
                <w:sz w:val="19"/>
                <w:szCs w:val="19"/>
              </w:rPr>
            </w:pPr>
            <w:r>
              <w:rPr>
                <w:rFonts w:ascii="Times New Roman" w:hAnsi="Times New Roman" w:cs="Times New Roman"/>
                <w:color w:val="#000000"/>
                <w:sz w:val="19"/>
                <w:szCs w:val="19"/>
              </w:rPr>
              <w:t>   толерантности и гражданской позиции в отношении античных цивилизаций Европы;</w:t>
            </w:r>
          </w:p>
          <w:p>
            <w:pPr>
              <w:jc w:val="left"/>
              <w:spacing w:after="0" w:line="240" w:lineRule="auto"/>
              <w:rPr>
                <w:sz w:val="19"/>
                <w:szCs w:val="19"/>
              </w:rPr>
            </w:pPr>
            <w:r>
              <w:rPr>
                <w:rFonts w:ascii="Times New Roman" w:hAnsi="Times New Roman" w:cs="Times New Roman"/>
                <w:color w:val="#000000"/>
                <w:sz w:val="19"/>
                <w:szCs w:val="19"/>
              </w:rPr>
              <w:t> - сравнительно-исторического анализа разнообразных путей социокультурного и политического развития античной цивилизованной Европы;</w:t>
            </w:r>
          </w:p>
          <w:p>
            <w:pPr>
              <w:jc w:val="left"/>
              <w:spacing w:after="0" w:line="240" w:lineRule="auto"/>
              <w:rPr>
                <w:sz w:val="19"/>
                <w:szCs w:val="19"/>
              </w:rPr>
            </w:pPr>
            <w:r>
              <w:rPr>
                <w:rFonts w:ascii="Times New Roman" w:hAnsi="Times New Roman" w:cs="Times New Roman"/>
                <w:color w:val="#000000"/>
                <w:sz w:val="19"/>
                <w:szCs w:val="19"/>
              </w:rPr>
              <w:t> - осмысления социально-культурных различий общественных групп, существовавших в Древней Греции и Древнем Риме;</w:t>
            </w:r>
          </w:p>
          <w:p>
            <w:pPr>
              <w:jc w:val="left"/>
              <w:spacing w:after="0" w:line="240" w:lineRule="auto"/>
              <w:rPr>
                <w:sz w:val="19"/>
                <w:szCs w:val="19"/>
              </w:rPr>
            </w:pPr>
            <w:r>
              <w:rPr>
                <w:rFonts w:ascii="Times New Roman" w:hAnsi="Times New Roman" w:cs="Times New Roman"/>
                <w:color w:val="#000000"/>
                <w:sz w:val="19"/>
                <w:szCs w:val="19"/>
              </w:rPr>
              <w:t> - уважительного отношения к достижениям культуры цивилизаций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положительного взаимодействия с людьми в процессе их приобщения к истории античных цивилизаций Европы;</w:t>
            </w:r>
          </w:p>
          <w:p>
            <w:pPr>
              <w:jc w:val="left"/>
              <w:spacing w:after="0" w:line="240" w:lineRule="auto"/>
              <w:rPr>
                <w:sz w:val="19"/>
                <w:szCs w:val="19"/>
              </w:rPr>
            </w:pPr>
            <w:r>
              <w:rPr>
                <w:rFonts w:ascii="Times New Roman" w:hAnsi="Times New Roman" w:cs="Times New Roman"/>
                <w:color w:val="#000000"/>
                <w:sz w:val="19"/>
                <w:szCs w:val="19"/>
              </w:rPr>
              <w:t> - осознанного выбора ценностных ориентиров и гражданской позиции посредством исследования истории античной Европы.</w:t>
            </w:r>
          </w:p>
        </w:tc>
      </w:tr>
      <w:tr>
        <w:trPr>
          <w:trHeight w:hRule="exact" w:val="277.8297"/>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"История Древней Греции"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историю Древней Греции»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«Древняя Греция», историческая география древнегреческой цивилизации на различных этапах ее развития. Периодизация истории Древней Греции. Источники по истории Древней Греции. История научного изучения (историография) истории Древней Греции в России и за рубежом.</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«Источники и историография истории Древней Греции».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Классификация и содержание источников по древнегреческой истории. Накопление научных знаний о Древней Греции в Древнем Риме и в средневековой Европе. Становление историографии Древней Греции в Новое время в Европе, Америке и России. Достижения российского и мирового антиковедения в XX веке: современное состояние и перспективы развития.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«Эгейский мир в III – II тыс.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Древний Крит, Микены, Троя. Открытие Минойской цивилизации, деятельность А. Эванса, Г. Шлимана, М. Вентриса и Д. Чэдвика. Кикладская культура и открытия П. Маринатоса. Ахейская Греция II тыс. до н.э. Троянская война.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в крито-микенский период своей истории».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Культурное наследие и историческое значение крито- микенского общества. Проблема гибели крито-минойской цивилизации. Извержение вулкана на о. Фера (Санторин). Концепция дорийского завоевания микенской Греции.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«Древняя Греция в период «темных веков»: гомеровский вопрос».</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самостоятельная работа с конспектами лекций, проработка текстового материала (учебников, учебных пособий, методических материалов, энциклопедий, словарей), составление плана-конспекта ответов на вопросы по изучаемой теме.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«Архаическая Греция в VIII-VI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Социально-политические системы Эллады. Крит и Спарта VIII – VI вв. до н.э. Беотия в VIII – VI вв. до н.э. Фессалия в VIII – VI вв. до н.э. Проблема «старшей» тирании в Греции.</w:t>
            </w:r>
          </w:p>
          <w:p>
            <w:pPr>
              <w:jc w:val="left"/>
              <w:spacing w:after="0" w:line="240" w:lineRule="auto"/>
              <w:rPr>
                <w:sz w:val="19"/>
                <w:szCs w:val="19"/>
              </w:rPr>
            </w:pPr>
            <w:r>
              <w:rPr>
                <w:rFonts w:ascii="Times New Roman" w:hAnsi="Times New Roman" w:cs="Times New Roman"/>
                <w:color w:val="#000000"/>
                <w:sz w:val="19"/>
                <w:szCs w:val="19"/>
              </w:rPr>
              <w:t> Великая Греческая колонизация. Причины колонизации, особенности, основные направления и исторические итоги. Особенности колонизации Северного Причерноморья и Приазовья в период архаики.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«Афины и Спарта как противоположные модели развития античной полисной цивилизации».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подготовка к практическим и лекционным занятиям путем самостоятельного изучения предлагаемого преподавателем учебного материала (научно-популярной, справочной литературы, в том числе через посредство интернет- ресурсов).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в классический период (V –  IV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Греко-персидские войны 500 – 449 гг. до н.э. Причины и периодизация греко-персидских войн. Главные вторжения персов в Грецию. Завершение греко-персидских войн. Каллиев мир. Военно-политические объединения Древней Греции V в. до н.э. Демократия в Афинах (Эфиальт, Перикл).</w:t>
            </w:r>
          </w:p>
          <w:p>
            <w:pPr>
              <w:jc w:val="left"/>
              <w:spacing w:after="0" w:line="240" w:lineRule="auto"/>
              <w:rPr>
                <w:sz w:val="19"/>
                <w:szCs w:val="19"/>
              </w:rPr>
            </w:pPr>
            <w:r>
              <w:rPr>
                <w:rFonts w:ascii="Times New Roman" w:hAnsi="Times New Roman" w:cs="Times New Roman"/>
                <w:color w:val="#000000"/>
                <w:sz w:val="19"/>
                <w:szCs w:val="19"/>
              </w:rPr>
              <w:t> Пелопоннесская война. Причины, планы воюющих сторон, исторические этапы и итоги Пелопоннесской войны. Кризис полисной системы. «Младшая тирания».</w:t>
            </w:r>
          </w:p>
          <w:p>
            <w:pPr>
              <w:jc w:val="left"/>
              <w:spacing w:after="0" w:line="240" w:lineRule="auto"/>
              <w:rPr>
                <w:sz w:val="19"/>
                <w:szCs w:val="19"/>
              </w:rPr>
            </w:pPr>
            <w:r>
              <w:rPr>
                <w:rFonts w:ascii="Times New Roman" w:hAnsi="Times New Roman" w:cs="Times New Roman"/>
                <w:color w:val="#000000"/>
                <w:sz w:val="19"/>
                <w:szCs w:val="19"/>
              </w:rPr>
              <w:t> Македония: страна, народ и царская династия. Внешняя политика Филиппа II в 359 – 340 гг. до н.э. IV «Священная» война. Образование Коринфской лиги. Культура Древней Греции в классический период</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в классический период (V –  IV вв. до н.э.). Кризис полисной системы».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Политическая ситуация в Элладе в 399 – 338 гг. до н.э. Спартанская гегемония в греческом мире в начале IV в. до н.э. Коринфская война. Военная борьба за гегемонию в первой половине IV в. до н.э. Политика Беотийского союза в Греции.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и Ближний Восток в конце IV – I вв. до н.э. Проблема эллинизма».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Восточная политика Александра III Македонского. Юность и воспитание царя. Восточный поход и его историческое значение. Раздел державы Александра Македонского и борьба диадохов.</w:t>
            </w:r>
          </w:p>
          <w:p>
            <w:pPr>
              <w:jc w:val="left"/>
              <w:spacing w:after="0" w:line="240" w:lineRule="auto"/>
              <w:rPr>
                <w:sz w:val="19"/>
                <w:szCs w:val="19"/>
              </w:rPr>
            </w:pPr>
            <w:r>
              <w:rPr>
                <w:rFonts w:ascii="Times New Roman" w:hAnsi="Times New Roman" w:cs="Times New Roman"/>
                <w:color w:val="#000000"/>
                <w:sz w:val="19"/>
                <w:szCs w:val="19"/>
              </w:rPr>
              <w:t> Эллинистические государства Востока. Эллинизм как научная проблема. Покорение Римом эллинистического Востока.</w:t>
            </w:r>
          </w:p>
          <w:p>
            <w:pPr>
              <w:jc w:val="left"/>
              <w:spacing w:after="0" w:line="240" w:lineRule="auto"/>
              <w:rPr>
                <w:sz w:val="19"/>
                <w:szCs w:val="19"/>
              </w:rPr>
            </w:pPr>
            <w:r>
              <w:rPr>
                <w:rFonts w:ascii="Times New Roman" w:hAnsi="Times New Roman" w:cs="Times New Roman"/>
                <w:color w:val="#000000"/>
                <w:sz w:val="19"/>
                <w:szCs w:val="19"/>
              </w:rPr>
              <w:t> Эллинистическая культура. Искусство, литература, театр в период эллинизма. Достижения в области науки. Характерные черты мировоззрения древнего грека периода эллинизма.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675.5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«Завоевание Греции Македонским царством в IV в. до н.э. Походы Александра Македонского на Восток».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Внешняя политика царя Филиппа II Македонского в 359 – 340 гг. до н.э. IV «Священная» война. Подчинение Греции Македонией (338-336 гг. до н.э.).</w:t>
            </w:r>
          </w:p>
          <w:p>
            <w:pPr>
              <w:jc w:val="left"/>
              <w:spacing w:after="0" w:line="240" w:lineRule="auto"/>
              <w:rPr>
                <w:sz w:val="19"/>
                <w:szCs w:val="19"/>
              </w:rPr>
            </w:pPr>
            <w:r>
              <w:rPr>
                <w:rFonts w:ascii="Times New Roman" w:hAnsi="Times New Roman" w:cs="Times New Roman"/>
                <w:color w:val="#000000"/>
                <w:sz w:val="19"/>
                <w:szCs w:val="19"/>
              </w:rPr>
              <w:t> Балканская и восточная политика македонского царя Александра III Великого. Юность и воспитание Александра Великого. Восточный поход и его историческое значение. Раздел державы Александра Македонского, борьба диадохов и эпигонов за его политическое наследие.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«Эллинистические государства на Балканах и на Ближнем Востоке».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Монархия и полис в период эллинизма. Государство Птолемеев. Держава Селевкидов. Пергамское царство. Македония и Греция в III – II вв. до н.э. Полисные союзы Греции периода эллинизма.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"Эллинистические монархии: Бактрийское царство, Понтийское царство, Боспорское царство, Пергамское царство, Сиракузское царство"</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самостоятельная работа с конспектами лекций, проработка текстового материала (учебников, учебных пособий, методических материалов, энциклопедий, словарей), составление плана-конспекта ответов на вопросы по изучаемой теме.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"История Древнего Рима"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историю Древнего Рима»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«Древний Рим», хронологические и географические рамки истории древнеримской цивилизации. Источники по истории Древнего Рима. История научного изучения цивилизации Древнего Рима в России и за рубежом.</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«Источники и историография истории Древнего Рима».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Классификация и содержание источников по древнеримской истории. Накопление научных знаний о Древнем Риме в античной и средневековой Европе. Становление историографии Древнего Рима в Новое время в Европе, Америке и России. Достижения российского и мирового антиковедения в XX веке: современное состояние и перспективы развития.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«Города-государства этрусков и древних греков на территории Италии в I тыс.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работа с конспектами лекций, проработка текстового материала из хрестоматии, написание конспекта, подготовка рефератов.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«Древний Рим в царский период  (VIII – VI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Особенности природных условий и древнее население Италии. Древняя Этрурия: общество, власть, культура. Влияние этрусской культуры на традиции и религиозные представления римлян. У истоков римской общины. Письменные и археологические данные об истоках римской общины. Структура римской общины и характер социальной деятельности римлян.</w:t>
            </w:r>
          </w:p>
          <w:p>
            <w:pPr>
              <w:jc w:val="left"/>
              <w:spacing w:after="0" w:line="240" w:lineRule="auto"/>
              <w:rPr>
                <w:sz w:val="19"/>
                <w:szCs w:val="19"/>
              </w:rPr>
            </w:pPr>
            <w:r>
              <w:rPr>
                <w:rFonts w:ascii="Times New Roman" w:hAnsi="Times New Roman" w:cs="Times New Roman"/>
                <w:color w:val="#000000"/>
                <w:sz w:val="19"/>
                <w:szCs w:val="19"/>
              </w:rPr>
              <w:t> Царская власть и римская община в VIII – VI вв. до н.э. Политический строй древнеримской общины. Роль царской власти в общественной жизни римлян. Римская община при Тарквиниях. Реформа Сервия Туллия.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«Внешняя политика Древнего Рима в царский период и в эпоху Республики».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Борьба Рима за гегемонию в Италии. Пунические войны.</w:t>
            </w:r>
          </w:p>
          <w:p>
            <w:pPr>
              <w:jc w:val="left"/>
              <w:spacing w:after="0" w:line="240" w:lineRule="auto"/>
              <w:rPr>
                <w:sz w:val="19"/>
                <w:szCs w:val="19"/>
              </w:rPr>
            </w:pPr>
            <w:r>
              <w:rPr>
                <w:rFonts w:ascii="Times New Roman" w:hAnsi="Times New Roman" w:cs="Times New Roman"/>
                <w:color w:val="#000000"/>
                <w:sz w:val="19"/>
                <w:szCs w:val="19"/>
              </w:rPr>
              <w:t> Рим и эллинистический Восток в III – II вв. до н.э. Войны Рима в Испании и Малой Азии во II в. до н.э. Югуртинская война. Военные преобразования Гая Мария. Борьба с кимврами и тевтонами.  «Митридатовы войны» Суллы, Лукулла и Гнея Помпея. «Галльская война» Гая Юлия Цезаря.</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«Гражданские войны в поздней Римской республике»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работа с конспектами лекций, проработка текстового материала из хрестоматии, написание конспекта, подготовка рефератов.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«Рим в период Республики (конец VI – конец I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Демократизация политических институтов в Риме в V – III вв. до н.э. Государственный строй Рима в период республики. Древнеримская религия и ее общественная роль. Экономический уклад римской республики. Социальная структура римского общества периода республики. Рабовладение в Риме.</w:t>
            </w:r>
          </w:p>
          <w:p>
            <w:pPr>
              <w:jc w:val="left"/>
              <w:spacing w:after="0" w:line="240" w:lineRule="auto"/>
              <w:rPr>
                <w:sz w:val="19"/>
                <w:szCs w:val="19"/>
              </w:rPr>
            </w:pPr>
            <w:r>
              <w:rPr>
                <w:rFonts w:ascii="Times New Roman" w:hAnsi="Times New Roman" w:cs="Times New Roman"/>
                <w:color w:val="#000000"/>
                <w:sz w:val="19"/>
                <w:szCs w:val="19"/>
              </w:rPr>
              <w:t> Внешняя и внутренняя политика Рима в V – II вв. до н.э. Реформы в римском государстве в 30 – 20-е гг. II в. до н.э. Восстания рабов в Италии и Сицилии во II в. до н.э. Римская республика в I в. до н.э. Союзническая война. Гражданская война в Риме в 80-е гг. I в. до н.э.  Диктатура Суллы. Восстание Спартака. Принципат Помпея. I триумвират в Риме. Принципат Цезаря. Римское государство в период II триумвирата. Гражданская война в Риме в к. 30-х гг. I в. до н.э.</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«Культура Древнего Рима периода ранней Империи»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работа с конспектами лекций, проработка текстового материала из хрестоматии, написание конспекта, подготовка рефератов.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675.54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«Римское общество и государство в период домината (поздняя Империя)».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Кризис Римского общественного и политического строя в период правления «солдатских императоров». Централизаторская политика императора Диоклетиана. Реформы Диоклетиана в сфере административного и военного управления, экономики, социальной и религиозной политики государства. Политическое значение системы тетрархии. Гражданская война в Риме в начале IV в. Социальные реформы императора Константина Великого.</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455.78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«Распад и крушение Римской империи в IV-V вв.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Великое переселение народов и поздняя Римская империя. Образование «варварских» королевств на ее границах. Раздел Римской империи по завещанию императора Феодосия Великого (395 г. н.э.). Попытка восстановления Западной Римской империи императором Юлием Майорианом. Борьба за престолонаследие в Западной Римской империи в 60 – начале 70 -х гг. V в. Переворот Одоакра. Истоки раннефеодального общества.</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«Христианизация поздней Римской империи»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работа с конспектами лекций, проработка текстового материала из хрестоматии, написание конспекта, подготовка рефератов и докладов, написание эссе.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1796.48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ОПК-4.1 ОПК-4.2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Немировский А.И.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Античность: В 2-х ч.: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27</w:t>
            </w:r>
          </w:p>
        </w:tc>
      </w:tr>
      <w:tr>
        <w:trPr>
          <w:trHeight w:hRule="exact" w:val="442.47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Немировский А.И.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Античность: В 2-х ч.: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28</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Кузищин В.И., Маяк И.Л.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Рима: Учеб. для студентов вузов., обучающихся по направл. и спец. "История"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42</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Дьяконов И. М., Неронова В. Д., Свеницкая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1983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page=book&amp;id=45182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Дьяконов И. М., Неронова В. Д., Свеницкая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1983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page=book&amp;id=45183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Дьяконов И. М., Неронова В. Д., Свеницкая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1983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page=book&amp;id=45184 неограниченный доступ для зарегистрированных пользователей</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Виппер Р.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page=book&amp;id=41066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Машкин Н.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Рима: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page=book&amp;id=44036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Кузищин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Исследования в области экономической истории античности: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Алетейя,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page=book&amp;id=74929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Государственное учебно-педагогическое издательство Наркомпроса РСФС�, 1943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page=book&amp;id=241629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Тихонов Р.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(Греция и Рим): учебно-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page=book&amp;id=271953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Дмитриев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учебно-методическое пособие для студентов исторического факультета: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page=book&amp;id=429822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Михайловский Ф.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Методическое пособие к учебнику Ф.А. Михайловского «Всеобщая история. История Древнего мира» для 5 класса общеобразовательных организаций: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Русское слово — учебник,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page=book&amp;id=485296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Программа курса «Всеобщая история. История Древнего мира». 5 класс: тематическое и поурочное планирование: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Русское слово — учебник,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page=book&amp;id=485299 неограниченный доступ для зарегистрированных пользователей</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Энциклопедия Кирилла и Мефодия</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Энциклопедия Кругосвет</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44.03.05.23-21-2-ИОZS.plx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77.83"/>
        </w:trPr>
        <w:tc>
          <w:tcPr>
            <w:tcW w:w="4679" w:type="dxa"/>
          </w:tcPr>
          <w:p/>
        </w:tc>
        <w:tc>
          <w:tcPr>
            <w:tcW w:w="5104" w:type="dxa"/>
          </w:tcPr>
          <w:p/>
        </w:tc>
        <w:tc>
          <w:tcPr>
            <w:tcW w:w="993" w:type="dxa"/>
          </w:tcPr>
          <w:p/>
        </w:tc>
      </w:tr>
      <w:tr>
        <w:trPr>
          <w:trHeight w:hRule="exact" w:val="416.74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87.6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tc>
      </w:tr>
      <w:tr>
        <w:trPr>
          <w:trHeight w:hRule="exact" w:val="277.8299"/>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2022-2023_44_03_05_23-21-2-ИОZS_plx_История Древней Греции и Древнего Рима</dc:title>
  <dc:creator>FastReport.NET</dc:creator>
</cp:coreProperties>
</file>