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471"/>
        <w:gridCol w:w="471"/>
        <w:gridCol w:w="455"/>
        <w:gridCol w:w="17"/>
        <w:gridCol w:w="471"/>
        <w:gridCol w:w="788"/>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 w:type="dxa"/>
          </w:tcPr>
          <w:p/>
        </w:tc>
        <w:tc>
          <w:tcPr>
            <w:tcW w:w="472" w:type="dxa"/>
          </w:tcPr>
          <w:p/>
        </w:tc>
        <w:tc>
          <w:tcPr>
            <w:tcW w:w="7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5039.1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127</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127</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7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бакалавриата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ПК-1:готовностью реализовывать образовательные программы по учебным предметам в соответствии с требованиями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СК-1:способностью определять пространственные и временные рамки процессов и явлений общественной жизни на локальном, национальном, глобальном уровнях в исторической ретроспективе и на современном этапе</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знаниями об обществе в целом и общественных процессах, способен анализировать исторические события, явления и процессы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СК-3:способностью характеризовать модели общественного развития и институциональную структуру общественных систем</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СК-6:способностью использовать общенаучные принципы и методы познания при анализе конкретно-исторических и экономических и социально-политических проблем</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требования образовательного стандарта и конкретное содержание образовательной программы по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пространственные закономерности развития античных цивилизаций Греции и Рима;</w:t>
            </w:r>
          </w:p>
          <w:p>
            <w:pPr>
              <w:jc w:val="left"/>
              <w:spacing w:after="0" w:line="240" w:lineRule="auto"/>
              <w:rPr>
                <w:sz w:val="19"/>
                <w:szCs w:val="19"/>
              </w:rPr>
            </w:pPr>
            <w:r>
              <w:rPr>
                <w:rFonts w:ascii="Times New Roman" w:hAnsi="Times New Roman" w:cs="Times New Roman"/>
                <w:color w:val="#000000"/>
                <w:sz w:val="19"/>
                <w:szCs w:val="19"/>
              </w:rPr>
              <w:t> - хронологическую канву истории Древней Греции и связанной с ней истории Древнего Рима;</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 моделях общественного развития, сложившихся в античной цивилизованной Европе;</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познания, а также конкретно-исторические, экономические и социально-политические проблемы развития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реализовывать на практике содержание образовательной программы по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разработанные в историографии истории античной Греции и Рима;</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содержательную сторону концепций и научных исторических школ в антиковедении;</w:t>
            </w:r>
          </w:p>
          <w:p>
            <w:pPr>
              <w:jc w:val="left"/>
              <w:spacing w:after="0" w:line="240" w:lineRule="auto"/>
              <w:rPr>
                <w:sz w:val="19"/>
                <w:szCs w:val="19"/>
              </w:rPr>
            </w:pPr>
            <w:r>
              <w:rPr>
                <w:rFonts w:ascii="Times New Roman" w:hAnsi="Times New Roman" w:cs="Times New Roman"/>
                <w:color w:val="#000000"/>
                <w:sz w:val="19"/>
                <w:szCs w:val="19"/>
              </w:rPr>
              <w:t> - критически оценивать концепции и научные исторические школы, сложившиеся в антиковедении.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приемами и способами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навыками анализа общественных, политических и культурных отношений в античную эпоху;</w:t>
            </w:r>
          </w:p>
          <w:p>
            <w:pPr>
              <w:jc w:val="left"/>
              <w:spacing w:after="0" w:line="240" w:lineRule="auto"/>
              <w:rPr>
                <w:sz w:val="19"/>
                <w:szCs w:val="19"/>
              </w:rPr>
            </w:pPr>
            <w:r>
              <w:rPr>
                <w:rFonts w:ascii="Times New Roman" w:hAnsi="Times New Roman" w:cs="Times New Roman"/>
                <w:color w:val="#000000"/>
                <w:sz w:val="19"/>
                <w:szCs w:val="19"/>
              </w:rPr>
              <w:t> - методикой сравнительно-исторического анализа основных моделей развития античного социума;</w:t>
            </w:r>
          </w:p>
          <w:p>
            <w:pPr>
              <w:jc w:val="left"/>
              <w:spacing w:after="0" w:line="240" w:lineRule="auto"/>
              <w:rPr>
                <w:sz w:val="19"/>
                <w:szCs w:val="19"/>
              </w:rPr>
            </w:pPr>
            <w:r>
              <w:rPr>
                <w:rFonts w:ascii="Times New Roman" w:hAnsi="Times New Roman" w:cs="Times New Roman"/>
                <w:color w:val="#000000"/>
                <w:sz w:val="19"/>
                <w:szCs w:val="19"/>
              </w:rPr>
              <w:t> - навыками анализа интерпретации истории Древней Греции и Древнего Рима различными научными направлениями;</w:t>
            </w:r>
          </w:p>
          <w:p>
            <w:pPr>
              <w:jc w:val="left"/>
              <w:spacing w:after="0" w:line="240" w:lineRule="auto"/>
              <w:rPr>
                <w:sz w:val="19"/>
                <w:szCs w:val="19"/>
              </w:rPr>
            </w:pPr>
            <w:r>
              <w:rPr>
                <w:rFonts w:ascii="Times New Roman" w:hAnsi="Times New Roman" w:cs="Times New Roman"/>
                <w:color w:val="#000000"/>
                <w:sz w:val="19"/>
                <w:szCs w:val="19"/>
              </w:rPr>
              <w:t> - методикой сравнительно-исторического анализа культуры цивилизаций Древней Греции и Древнего Рима.</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«Темные века» или «гомеровский период». «Илиада» и «Одиссея» как исторический источник.  Политический строй «гомеровского» общества. Олимпийская религия греков, мифология, истоки древнегреческой литературы.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теоретические проблемы историографии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«Возвышение и упадок полиса Фивы в классический период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Пергамское царство, Понтийское царство, Боспорское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416.74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 Рим в период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Римская империя в I в. Принципат Августа. Римское государство в период династии Юлиев – Клавдиев. Гражданская война 68 – 69 гг. Правление Флавиев и Антонинов: основы внутренней и внешней политики.</w:t>
            </w:r>
          </w:p>
          <w:p>
            <w:pPr>
              <w:jc w:val="left"/>
              <w:spacing w:after="0" w:line="240" w:lineRule="auto"/>
              <w:rPr>
                <w:sz w:val="19"/>
                <w:szCs w:val="19"/>
              </w:rPr>
            </w:pPr>
            <w:r>
              <w:rPr>
                <w:rFonts w:ascii="Times New Roman" w:hAnsi="Times New Roman" w:cs="Times New Roman"/>
                <w:color w:val="#000000"/>
                <w:sz w:val="19"/>
                <w:szCs w:val="19"/>
              </w:rPr>
              <w:t> Доминат как социально-политическая система.  Римская империя в период военных диктатур III в. Социально- экономическая ситуация в римских провинциях в середине III в. Политика государства в религиозном вопросе при Константине Великом. Императорская власть и христианство в Древнем Риме. Социально-политические критерии домината.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период Римской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СК-1 СК-2 СК-3 СК-6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Википедия</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2022-2023_44_03_05_23-18-5-ИОZ_plx_История Древней Греции и Древнего Рима</dc:title>
  <dc:creator>FastReport.NET</dc:creator>
</cp:coreProperties>
</file>