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История Древней Греции и Древнего Рима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44.03.05.23 История и Обществознание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471"/>
        <w:gridCol w:w="471"/>
        <w:gridCol w:w="455"/>
        <w:gridCol w:w="17"/>
        <w:gridCol w:w="471"/>
        <w:gridCol w:w="788"/>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 w:type="dxa"/>
          </w:tcPr>
          <w:p/>
        </w:tc>
        <w:tc>
          <w:tcPr>
            <w:tcW w:w="472" w:type="dxa"/>
          </w:tcPr>
          <w:p/>
        </w:tc>
        <w:tc>
          <w:tcPr>
            <w:tcW w:w="789"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472" w:type="dxa"/>
          </w:tcPr>
          <w:p/>
        </w:tc>
        <w:tc>
          <w:tcPr>
            <w:tcW w:w="472" w:type="dxa"/>
          </w:tcPr>
          <w:p/>
        </w:tc>
        <w:tc>
          <w:tcPr>
            <w:tcW w:w="456" w:type="dxa"/>
          </w:tcPr>
          <w:p/>
        </w:tc>
        <w:tc>
          <w:tcPr>
            <w:tcW w:w="18" w:type="dxa"/>
          </w:tcPr>
          <w:p/>
        </w:tc>
        <w:tc>
          <w:tcPr>
            <w:tcW w:w="472" w:type="dxa"/>
          </w:tcPr>
          <w:p/>
        </w:tc>
        <w:tc>
          <w:tcPr>
            <w:tcW w:w="789"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472" w:type="dxa"/>
          </w:tcPr>
          <w:p/>
        </w:tc>
        <w:tc>
          <w:tcPr>
            <w:tcW w:w="472" w:type="dxa"/>
          </w:tcPr>
          <w:p/>
        </w:tc>
        <w:tc>
          <w:tcPr>
            <w:tcW w:w="456" w:type="dxa"/>
          </w:tcPr>
          <w:p/>
        </w:tc>
        <w:tc>
          <w:tcPr>
            <w:tcW w:w="18" w:type="dxa"/>
          </w:tcPr>
          <w:p/>
        </w:tc>
        <w:tc>
          <w:tcPr>
            <w:tcW w:w="472" w:type="dxa"/>
          </w:tcPr>
          <w:p/>
        </w:tc>
        <w:tc>
          <w:tcPr>
            <w:tcW w:w="789" w:type="dxa"/>
          </w:tcPr>
          <w:p/>
        </w:tc>
        <w:tc>
          <w:tcPr>
            <w:tcW w:w="3828" w:type="dxa"/>
          </w:tcPr>
          <w:p/>
        </w:tc>
        <w:tc>
          <w:tcPr>
            <w:tcW w:w="710" w:type="dxa"/>
          </w:tcPr>
          <w:p/>
        </w:tc>
        <w:tc>
          <w:tcPr>
            <w:tcW w:w="285" w:type="dxa"/>
          </w:tcPr>
          <w:p/>
        </w:tc>
      </w:tr>
      <w:tr>
        <w:trPr>
          <w:trHeight w:hRule="exact" w:val="279.5941"/>
        </w:trPr>
        <w:tc>
          <w:tcPr>
            <w:tcW w:w="143" w:type="dxa"/>
          </w:tcPr>
          <w:p/>
        </w:tc>
        <w:tc>
          <w:tcPr>
            <w:tcW w:w="5039.101" w:type="dxa"/>
            <w:gridSpan w:val="10"/>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7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957.6"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7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7.6"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7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7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7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7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95</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95</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127</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127</w:t>
            </w:r>
          </w:p>
        </w:tc>
        <w:tc>
          <w:tcPr>
            <w:tcW w:w="7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789"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789" w:type="dxa"/>
          </w:tcPr>
          <w:p/>
        </w:tc>
        <w:tc>
          <w:tcPr>
            <w:tcW w:w="3828"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472" w:type="dxa"/>
          </w:tcPr>
          <w:p/>
        </w:tc>
        <w:tc>
          <w:tcPr>
            <w:tcW w:w="472" w:type="dxa"/>
          </w:tcPr>
          <w:p/>
        </w:tc>
        <w:tc>
          <w:tcPr>
            <w:tcW w:w="456" w:type="dxa"/>
          </w:tcPr>
          <w:p/>
        </w:tc>
        <w:tc>
          <w:tcPr>
            <w:tcW w:w="18" w:type="dxa"/>
          </w:tcPr>
          <w:p/>
        </w:tc>
        <w:tc>
          <w:tcPr>
            <w:tcW w:w="472" w:type="dxa"/>
          </w:tcPr>
          <w:p/>
        </w:tc>
        <w:tc>
          <w:tcPr>
            <w:tcW w:w="789"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472" w:type="dxa"/>
          </w:tcPr>
          <w:p/>
        </w:tc>
        <w:tc>
          <w:tcPr>
            <w:tcW w:w="472" w:type="dxa"/>
          </w:tcPr>
          <w:p/>
        </w:tc>
        <w:tc>
          <w:tcPr>
            <w:tcW w:w="456" w:type="dxa"/>
          </w:tcPr>
          <w:p/>
        </w:tc>
        <w:tc>
          <w:tcPr>
            <w:tcW w:w="18" w:type="dxa"/>
          </w:tcPr>
          <w:p/>
        </w:tc>
        <w:tc>
          <w:tcPr>
            <w:tcW w:w="472" w:type="dxa"/>
          </w:tcPr>
          <w:p/>
        </w:tc>
        <w:tc>
          <w:tcPr>
            <w:tcW w:w="789"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Качевский Павел Сергеевич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студентов бакалавриата систематизированных знаний и представлений об истории развития народов древней Европы, создавших высокоразвитые цивилизации Древней Греции и Древнего Рима.</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ПК-1:готовностью реализовывать образовательные программы по учебным предметам в соответствии с требованиями образовательных стандартов</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СК-1:способностью определять пространственные и временные рамки процессов и явлений общественной жизни на локальном, национальном, глобальном уровнях в исторической ретроспективе и на современном этапе</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СК-2:владением знаниями об обществе в целом и общественных процессах, способен анализировать исторические события, явления и процессы</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СК-3:способностью характеризовать модели общественного развития и институциональную структуру общественных систем</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СК-6:способностью использовать общенаучные принципы и методы познания при анализе конкретно-исторических и экономических и социально-политических проблем</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825.88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требования образовательного стандарта и конкретное содержание образовательной программы по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пространственные закономерности развития античных цивилизаций Греции и Рима;</w:t>
            </w:r>
          </w:p>
          <w:p>
            <w:pPr>
              <w:jc w:val="left"/>
              <w:spacing w:after="0" w:line="240" w:lineRule="auto"/>
              <w:rPr>
                <w:sz w:val="19"/>
                <w:szCs w:val="19"/>
              </w:rPr>
            </w:pPr>
            <w:r>
              <w:rPr>
                <w:rFonts w:ascii="Times New Roman" w:hAnsi="Times New Roman" w:cs="Times New Roman"/>
                <w:color w:val="#000000"/>
                <w:sz w:val="19"/>
                <w:szCs w:val="19"/>
              </w:rPr>
              <w:t> - хронологическую канву истории Древней Греции и связанной с ней истории Древнего Рима;</w:t>
            </w:r>
          </w:p>
          <w:p>
            <w:pPr>
              <w:jc w:val="left"/>
              <w:spacing w:after="0" w:line="240" w:lineRule="auto"/>
              <w:rPr>
                <w:sz w:val="19"/>
                <w:szCs w:val="19"/>
              </w:rPr>
            </w:pPr>
            <w:r>
              <w:rPr>
                <w:rFonts w:ascii="Times New Roman" w:hAnsi="Times New Roman" w:cs="Times New Roman"/>
                <w:color w:val="#000000"/>
                <w:sz w:val="19"/>
                <w:szCs w:val="19"/>
              </w:rPr>
              <w:t> - научные представления о моделях общественного развития, сложившихся в античной цивилизованной Европе;</w:t>
            </w:r>
          </w:p>
          <w:p>
            <w:pPr>
              <w:jc w:val="left"/>
              <w:spacing w:after="0" w:line="240" w:lineRule="auto"/>
              <w:rPr>
                <w:sz w:val="19"/>
                <w:szCs w:val="19"/>
              </w:rPr>
            </w:pPr>
            <w:r>
              <w:rPr>
                <w:rFonts w:ascii="Times New Roman" w:hAnsi="Times New Roman" w:cs="Times New Roman"/>
                <w:color w:val="#000000"/>
                <w:sz w:val="19"/>
                <w:szCs w:val="19"/>
              </w:rPr>
              <w:t> - общенаучные принципы и методы познания, а также конкретно-исторические, экономические и социально-политические проблемы развития Древней</w:t>
            </w:r>
          </w:p>
          <w:p>
            <w:pPr>
              <w:jc w:val="left"/>
              <w:spacing w:after="0" w:line="240" w:lineRule="auto"/>
              <w:rPr>
                <w:sz w:val="19"/>
                <w:szCs w:val="19"/>
              </w:rPr>
            </w:pPr>
            <w:r>
              <w:rPr>
                <w:rFonts w:ascii="Times New Roman" w:hAnsi="Times New Roman" w:cs="Times New Roman"/>
                <w:color w:val="#000000"/>
                <w:sz w:val="19"/>
                <w:szCs w:val="19"/>
              </w:rPr>
              <w:t>   Греции и Древнего Рима.</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606.26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реализовывать на практике содержание образовательной программы по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выделять системные характеристики античного общества Греции и Рима, его структуру и функции, в том числе специфические черты в социальном</w:t>
            </w:r>
          </w:p>
          <w:p>
            <w:pPr>
              <w:jc w:val="left"/>
              <w:spacing w:after="0" w:line="240" w:lineRule="auto"/>
              <w:rPr>
                <w:sz w:val="19"/>
                <w:szCs w:val="19"/>
              </w:rPr>
            </w:pPr>
            <w:r>
              <w:rPr>
                <w:rFonts w:ascii="Times New Roman" w:hAnsi="Times New Roman" w:cs="Times New Roman"/>
                <w:color w:val="#000000"/>
                <w:sz w:val="19"/>
                <w:szCs w:val="19"/>
              </w:rPr>
              <w:t>   устройстве и развитии;</w:t>
            </w:r>
          </w:p>
          <w:p>
            <w:pPr>
              <w:jc w:val="left"/>
              <w:spacing w:after="0" w:line="240" w:lineRule="auto"/>
              <w:rPr>
                <w:sz w:val="19"/>
                <w:szCs w:val="19"/>
              </w:rPr>
            </w:pPr>
            <w:r>
              <w:rPr>
                <w:rFonts w:ascii="Times New Roman" w:hAnsi="Times New Roman" w:cs="Times New Roman"/>
                <w:color w:val="#000000"/>
                <w:sz w:val="19"/>
                <w:szCs w:val="19"/>
              </w:rPr>
              <w:t> - объяснять основные модели общественного развития, разработанные в историографии истории античной Греции и Рима;</w:t>
            </w:r>
          </w:p>
          <w:p>
            <w:pPr>
              <w:jc w:val="left"/>
              <w:spacing w:after="0" w:line="240" w:lineRule="auto"/>
              <w:rPr>
                <w:sz w:val="19"/>
                <w:szCs w:val="19"/>
              </w:rPr>
            </w:pPr>
            <w:r>
              <w:rPr>
                <w:rFonts w:ascii="Times New Roman" w:hAnsi="Times New Roman" w:cs="Times New Roman"/>
                <w:color w:val="#000000"/>
                <w:sz w:val="19"/>
                <w:szCs w:val="19"/>
              </w:rPr>
              <w:t> - сравнивать, анализировать содержательную сторону концепций и научных исторических школ в антиковедении;</w:t>
            </w:r>
          </w:p>
          <w:p>
            <w:pPr>
              <w:jc w:val="left"/>
              <w:spacing w:after="0" w:line="240" w:lineRule="auto"/>
              <w:rPr>
                <w:sz w:val="19"/>
                <w:szCs w:val="19"/>
              </w:rPr>
            </w:pPr>
            <w:r>
              <w:rPr>
                <w:rFonts w:ascii="Times New Roman" w:hAnsi="Times New Roman" w:cs="Times New Roman"/>
                <w:color w:val="#000000"/>
                <w:sz w:val="19"/>
                <w:szCs w:val="19"/>
              </w:rPr>
              <w:t> - критически оценивать концепции и научные исторические школы, сложившиеся в антиковедении.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386.5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приемами и способами применения знаний по истории Древней Греции и Древнего Рима в учебно-воспитательной деятельности;</w:t>
            </w:r>
          </w:p>
          <w:p>
            <w:pPr>
              <w:jc w:val="left"/>
              <w:spacing w:after="0" w:line="240" w:lineRule="auto"/>
              <w:rPr>
                <w:sz w:val="19"/>
                <w:szCs w:val="19"/>
              </w:rPr>
            </w:pPr>
            <w:r>
              <w:rPr>
                <w:rFonts w:ascii="Times New Roman" w:hAnsi="Times New Roman" w:cs="Times New Roman"/>
                <w:color w:val="#000000"/>
                <w:sz w:val="19"/>
                <w:szCs w:val="19"/>
              </w:rPr>
              <w:t> - навыками анализа общественных, политических и культурных отношений в античную эпоху;</w:t>
            </w:r>
          </w:p>
          <w:p>
            <w:pPr>
              <w:jc w:val="left"/>
              <w:spacing w:after="0" w:line="240" w:lineRule="auto"/>
              <w:rPr>
                <w:sz w:val="19"/>
                <w:szCs w:val="19"/>
              </w:rPr>
            </w:pPr>
            <w:r>
              <w:rPr>
                <w:rFonts w:ascii="Times New Roman" w:hAnsi="Times New Roman" w:cs="Times New Roman"/>
                <w:color w:val="#000000"/>
                <w:sz w:val="19"/>
                <w:szCs w:val="19"/>
              </w:rPr>
              <w:t> - методикой сравнительно-исторического анализа основных моделей развития античного социума;</w:t>
            </w:r>
          </w:p>
          <w:p>
            <w:pPr>
              <w:jc w:val="left"/>
              <w:spacing w:after="0" w:line="240" w:lineRule="auto"/>
              <w:rPr>
                <w:sz w:val="19"/>
                <w:szCs w:val="19"/>
              </w:rPr>
            </w:pPr>
            <w:r>
              <w:rPr>
                <w:rFonts w:ascii="Times New Roman" w:hAnsi="Times New Roman" w:cs="Times New Roman"/>
                <w:color w:val="#000000"/>
                <w:sz w:val="19"/>
                <w:szCs w:val="19"/>
              </w:rPr>
              <w:t> - навыками анализа интерпретации истории Древней Греции и Древнего Рима различными научными направлениями;</w:t>
            </w:r>
          </w:p>
          <w:p>
            <w:pPr>
              <w:jc w:val="left"/>
              <w:spacing w:after="0" w:line="240" w:lineRule="auto"/>
              <w:rPr>
                <w:sz w:val="19"/>
                <w:szCs w:val="19"/>
              </w:rPr>
            </w:pPr>
            <w:r>
              <w:rPr>
                <w:rFonts w:ascii="Times New Roman" w:hAnsi="Times New Roman" w:cs="Times New Roman"/>
                <w:color w:val="#000000"/>
                <w:sz w:val="19"/>
                <w:szCs w:val="19"/>
              </w:rPr>
              <w:t> - методикой сравнительно-исторического анализа культуры цивилизаций Древней Греции и Древнего Рима.</w:t>
            </w:r>
          </w:p>
        </w:tc>
      </w:tr>
      <w:tr>
        <w:trPr>
          <w:trHeight w:hRule="exact" w:val="277.8295"/>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"История Древней Греции"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историю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«Древняя Греция», историческая география древнегреческой цивилизации на различных этапах ее развития. Периодизация истории Древней Греции. Источники по истории Древней Греции. История научного изучения (историография) истории Древней Греции в России и за рубежом.</w:t>
            </w:r>
          </w:p>
          <w:p>
            <w:pPr>
              <w:jc w:val="left"/>
              <w:spacing w:after="0" w:line="240" w:lineRule="auto"/>
              <w:rPr>
                <w:sz w:val="19"/>
                <w:szCs w:val="19"/>
              </w:rPr>
            </w:pPr>
            <w:r>
              <w:rPr>
                <w:rFonts w:ascii="Times New Roman" w:hAnsi="Times New Roman" w:cs="Times New Roman"/>
                <w:color w:val="#000000"/>
                <w:sz w:val="19"/>
                <w:szCs w:val="19"/>
              </w:rPr>
              <w:t> Древний Крит, Микены, Троя. Открытие Минойской цивилизации, деятельность А. Эванса, Г. Шлимана, М. Вентриса и Д. Чэдвика. Кикладская культура и открытия П. Маринатоса. Ахейская Греция II тыс. до н.э. Троянская война.</w:t>
            </w:r>
          </w:p>
          <w:p>
            <w:pPr>
              <w:jc w:val="left"/>
              <w:spacing w:after="0" w:line="240" w:lineRule="auto"/>
              <w:rPr>
                <w:sz w:val="19"/>
                <w:szCs w:val="19"/>
              </w:rPr>
            </w:pPr>
            <w:r>
              <w:rPr>
                <w:rFonts w:ascii="Times New Roman" w:hAnsi="Times New Roman" w:cs="Times New Roman"/>
                <w:color w:val="#000000"/>
                <w:sz w:val="19"/>
                <w:szCs w:val="19"/>
              </w:rPr>
              <w:t> «Темные века» или «гомеровский период». «Илиада» и «Одиссея» как исторический источник.  Политический строй «гомеровского» общества. Олимпийская религия греков, мифология, истоки древнегреческой литературы.</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теоретические проблемы историографии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«Древняя Греция в период «темных веков»: гомеровский вопрос».</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«Афины и Спарта как противоположные модели развития античной полисной цивилизации».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подготовка к практическим и лекционным занятиям путем самостоятельного изучения предлагаемого преподавателем учебного материала (научно-популярной, справочной литературы, в том числе через посредство интернет- ресурсов).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2675.5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«Завоевание Греции Македонским царством в IV в. до н.э. Походы Александра Македонского на Восток».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Внешняя политика царя Филиппа II Македонского в 359 – 340 гг. до н.э. IV «Священная» война. Подчинение Греции Македонией (338-336 гг. до н.э.).</w:t>
            </w:r>
          </w:p>
          <w:p>
            <w:pPr>
              <w:jc w:val="left"/>
              <w:spacing w:after="0" w:line="240" w:lineRule="auto"/>
              <w:rPr>
                <w:sz w:val="19"/>
                <w:szCs w:val="19"/>
              </w:rPr>
            </w:pPr>
            <w:r>
              <w:rPr>
                <w:rFonts w:ascii="Times New Roman" w:hAnsi="Times New Roman" w:cs="Times New Roman"/>
                <w:color w:val="#000000"/>
                <w:sz w:val="19"/>
                <w:szCs w:val="19"/>
              </w:rPr>
              <w:t> Балканская и восточная политика македонского царя Александра III Великого. Юность и воспитание Александра Великого. Восточный поход и его историческое значение. Раздел державы Александра Македонского, борьба диадохов и эпигонов за его политическое наследие.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«Возвышение и упадок полиса Фивы в классический период истории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подготовка к практическим и лекционным занятиям, самостоятельное изучение предлагаемого преподавателем учебного материала (научно-популярной, справочной литературы, в том числе через посредство интернет- ресурсов).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"Эллинистические монархии: Бактрийское царство, Пергамское царство, Понтийское царство, Боспорское царство, Сиракузское царство".</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подготовка к практическим и лекционным занятиям, самостоятельное изучение предлагаемого преподавателем учебного материала (научно-популярной, справочной литературы, в том числе через посредство интернет- ресурсов).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416.744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Древнего Рима"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историю Древнего Рима. Рим в период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«Древний Рим», хронологические и географические рамки истории древнеримской цивилизации. Источники по истории Древнего Рима. История научного изучения цивилизации Древнего Рима в России и за рубежом.</w:t>
            </w:r>
          </w:p>
          <w:p>
            <w:pPr>
              <w:jc w:val="left"/>
              <w:spacing w:after="0" w:line="240" w:lineRule="auto"/>
              <w:rPr>
                <w:sz w:val="19"/>
                <w:szCs w:val="19"/>
              </w:rPr>
            </w:pPr>
            <w:r>
              <w:rPr>
                <w:rFonts w:ascii="Times New Roman" w:hAnsi="Times New Roman" w:cs="Times New Roman"/>
                <w:color w:val="#000000"/>
                <w:sz w:val="19"/>
                <w:szCs w:val="19"/>
              </w:rPr>
              <w:t> Римская империя в I в. Принципат Августа. Римское государство в период династии Юлиев – Клавдиев. Гражданская война 68 – 69 гг. Правление Флавиев и Антонинов: основы внутренней и внешней политики.</w:t>
            </w:r>
          </w:p>
          <w:p>
            <w:pPr>
              <w:jc w:val="left"/>
              <w:spacing w:after="0" w:line="240" w:lineRule="auto"/>
              <w:rPr>
                <w:sz w:val="19"/>
                <w:szCs w:val="19"/>
              </w:rPr>
            </w:pPr>
            <w:r>
              <w:rPr>
                <w:rFonts w:ascii="Times New Roman" w:hAnsi="Times New Roman" w:cs="Times New Roman"/>
                <w:color w:val="#000000"/>
                <w:sz w:val="19"/>
                <w:szCs w:val="19"/>
              </w:rPr>
              <w:t> Доминат как социально-политическая система.  Римская империя в период военных диктатур III в. Социально- экономическая ситуация в римских провинциях в середине III в. Политика государства в религиозном вопросе при Константине Великом. Императорская власть и христианство в Древнем Риме. Социально-политические критерии домината.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«Гражданские войны в период Римской республики».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«Распад и крушение Римской империи в IV-V вв.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Великое переселение народов и поздняя Римская империя. Образование «варварских» королевств на ее границах. Раздел Римской империи по завещанию императора Феодосия Великого (395 г. н.э.). Попытка восстановления Западной Римской империи императором Юлием Майорианом. Борьба за престолонаследие в Западной Римской империи в 60 – начале 70 -х гг. V в. Переворот Одоакра. Истоки раннефеодального общества.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Древнего Рима периода ранней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1576.86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«Христианизация поздней Римской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 и докладов, написание эссе.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СК-1 СК-2 СК-3 СК-6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Л2.3Л3.1 Л3.2 Л3.3 Л3.4</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Немировский А.И.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Античность: В 2-х ч.: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27</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Немировский А.И.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Античность: В 2-х ч.: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28</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Кузищин В.И., Маяк И.Л.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Рима: Учеб. для студентов вузов., обучающихся по направл. и спец. "История"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42</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page=book&amp;id=45182 неограниченный доступ для зарегистрированных пользователей</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Виппер Р.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page=book&amp;id=41066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Машкин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Рима: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page=book&amp;id=44036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Кузищин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Исследования в области экономической истории античности: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Алетейя, 2011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page=book&amp;id=74929 неограниченный доступ для зарегистрированных пользователей</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Тихонов Р.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(Греция и Рим): учебно- методическое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page=book&amp;id=271953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44.03.05.23-18-5-ИОZ.plx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Дмитриев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учебно-методическое пособие для студентов исторического факультета: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page=book&amp;id=429822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Михайловский Ф.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Методическое пособие к учебнику Ф.А. Михайловского «Всеобщая история. История Древнего мира» для 5 класса общеобразовательных организаций: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Русское слово — учебник,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page=book&amp;id=485296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Программа курса «Всеобщая история. История Древнего мира». 5 класс: тематическое и поурочное планирование: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Русское слово — учебник,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page=book&amp;id=485299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Энциклопедия Кирилла и Мефодия</w:t>
            </w:r>
          </w:p>
        </w:tc>
      </w:tr>
      <w:tr>
        <w:trPr>
          <w:trHeight w:hRule="exact" w:val="287.67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Энциклопедия Кругосвет</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Википедия</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5"/>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2022-2023_44_03_05_23-18-5-ИОZ_plx_История Древней Греции и Древнего Рима</dc:title>
  <dc:creator>FastReport.NET</dc:creator>
</cp:coreProperties>
</file>