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5/6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1/6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561.5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основные положения научной организации педагогического труда;</w:t>
            </w:r>
          </w:p>
          <w:p>
            <w:pPr>
              <w:jc w:val="left"/>
              <w:spacing w:after="0" w:line="240" w:lineRule="auto"/>
              <w:rPr>
                <w:sz w:val="19"/>
                <w:szCs w:val="19"/>
              </w:rPr>
            </w:pPr>
            <w:r>
              <w:rPr>
                <w:rFonts w:ascii="Times New Roman" w:hAnsi="Times New Roman" w:cs="Times New Roman"/>
                <w:color w:val="#000000"/>
                <w:sz w:val="19"/>
                <w:szCs w:val="19"/>
              </w:rPr>
              <w:t> – особенности педагогической деятельности, требования к субъектам педагогической деятельности;</w:t>
            </w:r>
          </w:p>
          <w:p>
            <w:pPr>
              <w:jc w:val="left"/>
              <w:spacing w:after="0" w:line="240" w:lineRule="auto"/>
              <w:rPr>
                <w:sz w:val="19"/>
                <w:szCs w:val="19"/>
              </w:rPr>
            </w:pPr>
            <w:r>
              <w:rPr>
                <w:rFonts w:ascii="Times New Roman" w:hAnsi="Times New Roman" w:cs="Times New Roman"/>
                <w:color w:val="#000000"/>
                <w:sz w:val="19"/>
                <w:szCs w:val="19"/>
              </w:rPr>
              <w:t> – результаты научных исследований в сфере педагогической деятельности.</w:t>
            </w:r>
          </w:p>
          <w:p>
            <w:pPr>
              <w:jc w:val="left"/>
              <w:spacing w:after="0" w:line="240" w:lineRule="auto"/>
              <w:rPr>
                <w:sz w:val="19"/>
                <w:szCs w:val="19"/>
              </w:rPr>
            </w:pPr>
            <w:r>
              <w:rPr>
                <w:rFonts w:ascii="Times New Roman" w:hAnsi="Times New Roman" w:cs="Times New Roman"/>
                <w:color w:val="#000000"/>
                <w:sz w:val="19"/>
                <w:szCs w:val="19"/>
              </w:rPr>
              <w:t> – применение специальных научных знаний в соответствии с установленными психофизиологическими, возрастными, познавательными особенностями</w:t>
            </w:r>
          </w:p>
          <w:p>
            <w:pPr>
              <w:jc w:val="left"/>
              <w:spacing w:after="0" w:line="240" w:lineRule="auto"/>
              <w:rPr>
                <w:sz w:val="19"/>
                <w:szCs w:val="19"/>
              </w:rPr>
            </w:pPr>
            <w:r>
              <w:rPr>
                <w:rFonts w:ascii="Times New Roman" w:hAnsi="Times New Roman" w:cs="Times New Roman"/>
                <w:color w:val="#000000"/>
                <w:sz w:val="19"/>
                <w:szCs w:val="19"/>
              </w:rPr>
              <w:t> обучающихся,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 способы реализации отдельных этапов учебно-познавательных, творческих и практико-ориентированных проектов в области физической</w:t>
            </w:r>
          </w:p>
          <w:p>
            <w:pPr>
              <w:jc w:val="left"/>
              <w:spacing w:after="0" w:line="240" w:lineRule="auto"/>
              <w:rPr>
                <w:sz w:val="19"/>
                <w:szCs w:val="19"/>
              </w:rPr>
            </w:pPr>
            <w:r>
              <w:rPr>
                <w:rFonts w:ascii="Times New Roman" w:hAnsi="Times New Roman" w:cs="Times New Roman"/>
                <w:color w:val="#000000"/>
                <w:sz w:val="19"/>
                <w:szCs w:val="19"/>
              </w:rPr>
              <w:t> культуры и спорта, в том числе физкультурно-спортивной направленности.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099.80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p>
            <w:pPr>
              <w:jc w:val="left"/>
              <w:spacing w:after="0" w:line="240" w:lineRule="auto"/>
              <w:rPr>
                <w:sz w:val="19"/>
                <w:szCs w:val="19"/>
              </w:rPr>
            </w:pPr>
            <w:r>
              <w:rPr>
                <w:rFonts w:ascii="Times New Roman" w:hAnsi="Times New Roman" w:cs="Times New Roman"/>
                <w:color w:val="#000000"/>
                <w:sz w:val="19"/>
                <w:szCs w:val="19"/>
              </w:rPr>
              <w:t> - осуществлять поиск, анализ, интерпретацию научной информации и адаптировать её к своей педагогической деятельности, использовать профессиональные базы данных;</w:t>
            </w:r>
          </w:p>
          <w:p>
            <w:pPr>
              <w:jc w:val="left"/>
              <w:spacing w:after="0" w:line="240" w:lineRule="auto"/>
              <w:rPr>
                <w:sz w:val="19"/>
                <w:szCs w:val="19"/>
              </w:rPr>
            </w:pPr>
            <w:r>
              <w:rPr>
                <w:rFonts w:ascii="Times New Roman" w:hAnsi="Times New Roman" w:cs="Times New Roman"/>
                <w:color w:val="#000000"/>
                <w:sz w:val="19"/>
                <w:szCs w:val="19"/>
              </w:rPr>
              <w:t> – выстраивать учебную деятельность с учетом научной организации педагогического труда;</w:t>
            </w:r>
          </w:p>
          <w:p>
            <w:pPr>
              <w:jc w:val="left"/>
              <w:spacing w:after="0" w:line="240" w:lineRule="auto"/>
              <w:rPr>
                <w:sz w:val="19"/>
                <w:szCs w:val="19"/>
              </w:rPr>
            </w:pPr>
            <w:r>
              <w:rPr>
                <w:rFonts w:ascii="Times New Roman" w:hAnsi="Times New Roman" w:cs="Times New Roman"/>
                <w:color w:val="#000000"/>
                <w:sz w:val="19"/>
                <w:szCs w:val="19"/>
              </w:rPr>
              <w:t> –  использовать современные научные знания и результаты исследований для выборов методов в педагогической деятельности.</w:t>
            </w:r>
          </w:p>
          <w:p>
            <w:pPr>
              <w:jc w:val="left"/>
              <w:spacing w:after="0" w:line="240" w:lineRule="auto"/>
              <w:rPr>
                <w:sz w:val="19"/>
                <w:szCs w:val="19"/>
              </w:rPr>
            </w:pPr>
            <w:r>
              <w:rPr>
                <w:rFonts w:ascii="Times New Roman" w:hAnsi="Times New Roman" w:cs="Times New Roman"/>
                <w:color w:val="#000000"/>
                <w:sz w:val="19"/>
                <w:szCs w:val="19"/>
              </w:rPr>
              <w:t> –  осуществлять педагогическое целеполагание и решать задачи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оценивать результативность собственной педагогической деятельности;</w:t>
            </w:r>
          </w:p>
          <w:p>
            <w:pPr>
              <w:jc w:val="left"/>
              <w:spacing w:after="0" w:line="240" w:lineRule="auto"/>
              <w:rPr>
                <w:sz w:val="19"/>
                <w:szCs w:val="19"/>
              </w:rPr>
            </w:pPr>
            <w:r>
              <w:rPr>
                <w:rFonts w:ascii="Times New Roman" w:hAnsi="Times New Roman" w:cs="Times New Roman"/>
                <w:color w:val="#000000"/>
                <w:sz w:val="19"/>
                <w:szCs w:val="19"/>
              </w:rPr>
              <w:t> – методически грамотно обосновывать целесообразность методов, форм и средств, избранных для организации проектной деятельности обучающихся</w:t>
            </w:r>
          </w:p>
          <w:p>
            <w:pPr>
              <w:jc w:val="left"/>
              <w:spacing w:after="0" w:line="240" w:lineRule="auto"/>
              <w:rPr>
                <w:sz w:val="19"/>
                <w:szCs w:val="19"/>
              </w:rPr>
            </w:pPr>
            <w:r>
              <w:rPr>
                <w:rFonts w:ascii="Times New Roman" w:hAnsi="Times New Roman" w:cs="Times New Roman"/>
                <w:color w:val="#000000"/>
                <w:sz w:val="19"/>
                <w:szCs w:val="19"/>
              </w:rPr>
              <w:t> в области физической культуры и спорта в образовательных организациях, в том числе физкультурно-спортивной направленности.</w:t>
            </w:r>
          </w:p>
        </w:tc>
      </w:tr>
      <w:tr>
        <w:trPr>
          <w:trHeight w:hRule="exact" w:val="277.83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122.21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p>
            <w:pPr>
              <w:jc w:val="left"/>
              <w:spacing w:after="0" w:line="240" w:lineRule="auto"/>
              <w:rPr>
                <w:sz w:val="19"/>
                <w:szCs w:val="19"/>
              </w:rPr>
            </w:pPr>
            <w:r>
              <w:rPr>
                <w:rFonts w:ascii="Times New Roman" w:hAnsi="Times New Roman" w:cs="Times New Roman"/>
                <w:color w:val="#000000"/>
                <w:sz w:val="19"/>
                <w:szCs w:val="19"/>
              </w:rPr>
              <w:t> – нормативно-правовыми, психолого-педагогическими, проектно-методическими и организационно-управленческими средствами проведения научно-исследовательской работы;</w:t>
            </w:r>
          </w:p>
          <w:p>
            <w:pPr>
              <w:jc w:val="left"/>
              <w:spacing w:after="0" w:line="240" w:lineRule="auto"/>
              <w:rPr>
                <w:sz w:val="19"/>
                <w:szCs w:val="19"/>
              </w:rPr>
            </w:pPr>
            <w:r>
              <w:rPr>
                <w:rFonts w:ascii="Times New Roman" w:hAnsi="Times New Roman" w:cs="Times New Roman"/>
                <w:color w:val="#000000"/>
                <w:sz w:val="19"/>
                <w:szCs w:val="19"/>
              </w:rPr>
              <w:t> – методами анализа педагогической ситуации, профессиональной рефлексии на основе специальных научных знаний в целях совершенствования</w:t>
            </w:r>
          </w:p>
          <w:p>
            <w:pPr>
              <w:jc w:val="left"/>
              <w:spacing w:after="0" w:line="240" w:lineRule="auto"/>
              <w:rPr>
                <w:sz w:val="19"/>
                <w:szCs w:val="19"/>
              </w:rPr>
            </w:pPr>
            <w:r>
              <w:rPr>
                <w:rFonts w:ascii="Times New Roman" w:hAnsi="Times New Roman" w:cs="Times New Roman"/>
                <w:color w:val="#000000"/>
                <w:sz w:val="19"/>
                <w:szCs w:val="19"/>
              </w:rPr>
              <w:t> образовательного процесса.</w:t>
            </w:r>
          </w:p>
          <w:p>
            <w:pPr>
              <w:jc w:val="left"/>
              <w:spacing w:after="0" w:line="240" w:lineRule="auto"/>
              <w:rPr>
                <w:sz w:val="19"/>
                <w:szCs w:val="19"/>
              </w:rPr>
            </w:pPr>
            <w:r>
              <w:rPr>
                <w:rFonts w:ascii="Times New Roman" w:hAnsi="Times New Roman" w:cs="Times New Roman"/>
                <w:color w:val="#000000"/>
                <w:sz w:val="19"/>
                <w:szCs w:val="19"/>
              </w:rPr>
              <w:t> – навыками развития у обучающихся познавательной активности, самостоятельности, инициативы, творческих способностей;</w:t>
            </w:r>
          </w:p>
          <w:p>
            <w:pPr>
              <w:jc w:val="left"/>
              <w:spacing w:after="0" w:line="240" w:lineRule="auto"/>
              <w:rPr>
                <w:sz w:val="19"/>
                <w:szCs w:val="19"/>
              </w:rPr>
            </w:pPr>
            <w:r>
              <w:rPr>
                <w:rFonts w:ascii="Times New Roman" w:hAnsi="Times New Roman" w:cs="Times New Roman"/>
                <w:color w:val="#000000"/>
                <w:sz w:val="19"/>
                <w:szCs w:val="19"/>
              </w:rPr>
              <w:t> – процессом планирования разработки и реализации проектов различного типа (учебно-познавательный, практико- ориентированный, творческий,</w:t>
            </w:r>
          </w:p>
          <w:p>
            <w:pPr>
              <w:jc w:val="left"/>
              <w:spacing w:after="0" w:line="240" w:lineRule="auto"/>
              <w:rPr>
                <w:sz w:val="19"/>
                <w:szCs w:val="19"/>
              </w:rPr>
            </w:pPr>
            <w:r>
              <w:rPr>
                <w:rFonts w:ascii="Times New Roman" w:hAnsi="Times New Roman" w:cs="Times New Roman"/>
                <w:color w:val="#000000"/>
                <w:sz w:val="19"/>
                <w:szCs w:val="19"/>
              </w:rPr>
              <w:t> исследовательский и т.д.) в области физической культуры и спорта в образовательных организациях.</w:t>
            </w:r>
          </w:p>
        </w:tc>
      </w:tr>
      <w:tr>
        <w:trPr>
          <w:trHeight w:hRule="exact" w:val="277.8312"/>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-3.4 ОПК- 8.1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Л1.13 Л1.23Л2.3 Л2.8 Л2.9 Л2.11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ПКО -3.2 ПКО- 3.4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Л1.20Л2.8 Л2.9 Л2.11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Л1.18Л2.1 Л2.2 Л2.3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-3.2 ПКО- 3.4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 Л1.20 Л1.22Л2.5 Л2.9 Л2.12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 Л1.20Л2.5 Л2.8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-3.2 ПКО- 3.4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 Л1.14 Л1.20Л2.8 Л2.9 Л2.11 Л2.13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ПКО-3.2 ПКО-3.3 ПКО-3.4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Л1.14 Л1.20Л2.8 Л2.9 Л2.11</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Л1.20Л2.9</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Л1.15 Л1.18 Л1.19 Л1.21Л2.6 Л2.9 Л2.10 Л2.14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Л1.20Л2.6 Л2.9 Л2.10</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-3.2 ПКО- 3.4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Л1.15 Л1.19Л2.6 Л2.10</w:t>
            </w:r>
          </w:p>
        </w:tc>
      </w:tr>
      <w:tr>
        <w:trPr>
          <w:trHeight w:hRule="exact" w:val="697.8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ОПК -8.1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Л1.18 Л1.19Л2.2 Л2.8 Л2.13 Л2.15</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Л1.1Л2.9 Л2.15</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-3.2 ПКО- 3.4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 Л1.20 Л1.21 Л1.23Л2.1 Л2.2 Л2.5 Л2.8 Л2.9 Л2.11 Л2.13 Л2.15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ОПК- 8.1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Л1.23Л2.3 Л2.8 Л2.9 Л2.11</w:t>
            </w:r>
          </w:p>
        </w:tc>
      </w:tr>
      <w:tr>
        <w:trPr>
          <w:trHeight w:hRule="exact" w:val="2455.78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ОПК -8.1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Л1.13 Л1.20Л2.2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ОПК- 8.1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 Л1.22Л2.5 Л2.9 Л2.12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Л1.17Л2.5 Л2.8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Л1.14Л2.9 Л2.11 Л2.13 Л2.15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Л1.20Л2.11 Л2.15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Л1.12 Л1.15 Л1.16 Л1.21Л2.6 Л2.9 Л2.10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 Л1.15 Л1.20Л2.6 Л2.9 Л2.13 Л2.15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ПКО-3.4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 Л2.15</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 Л1.13 Л1.15 Л1.20 Л1.21 Л1.23Л2.2 Л2.5 Л2.8 Л2.9 Л2.11 Л2.13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ОПК- 8.1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Л1.13Л2.2 Л2.3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Л1.20Л2.1 Л2.2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ОПК- 8.1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Л1.20Л2.5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Л1.20Л2.8 Л2.9 Л2.11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ОПК- 8.1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Л1.12 Л1.15 Л1.16 Л1.18 Л1.19Л2.9 Л2.10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 Л1.13 Л1.15 Л1.20Л2.1 Л2.5 Л2.8 Л2.9 Л2.10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Л1.20Л2.2 Л2.3 Л2.8</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Л1.20Л2.3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Л2.8 Л2.9</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Л1.20Л2.9 Л2.11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Л1.20Л2.8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Л1.12 Л1.15 Л1.16 Л1.18 Л1.19Л2.4 Л2.6 Л2.10</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Л1.15 Л1.16Л2.6 Л2.9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Л1.13 Л1.15 Л1.20Л2.4 Л2.8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Л1.12 Л1.15 Л1.16 Л1.18 Л1.19Л2.6 Л2.8 Л2.9</w:t>
            </w:r>
          </w:p>
        </w:tc>
      </w:tr>
      <w:tr>
        <w:trPr>
          <w:trHeight w:hRule="exact" w:val="416.74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 Л1.13 Л1.14 Л1.15 Л1.20Л2.2 Л2.3 Л2.5 Л2.8 Л2.11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Л2.9 Л1.20Л2.1 Л2.2 Л2.3 Л2.8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Л2.3 Л2.8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Л1.13 Л1.20Л2.1 Л2.2 Л2.3 Л2.8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Л1.17Л2.5 Л2.9</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Л1.20Л1.1 Л2.8 Л2.9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Л1.12 Л1.15 Л1.16 Л1.18 Л1.19 Л1.20Л2.4 Л2.6 Л2.9 Л2.10</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Л1.15 Л1.16 Л1.18 Л1.19Л2.8 Л2.9 Л2.10</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Л1.13 Л1.15 Л1.16 Л1.20Л2.5 Л2.8 Л2.9 Л2.11</w:t>
            </w:r>
          </w:p>
        </w:tc>
      </w:tr>
      <w:tr>
        <w:trPr>
          <w:trHeight w:hRule="exact" w:val="277.8297"/>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2022-2023_44_03_05_17-22-1-РЯЛ_plx_Элективные курсы по физической культуре и спорту</dc:title>
  <dc:creator>FastReport.NET</dc:creator>
</cp:coreProperties>
</file>