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Трудные случаи морфологического анализа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(4.1)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4/6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Ким Наталья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формирование у студентов глубоких и полных знаний о морфологической системе русского языка (традиционное и современное учение о морфологических единицах) в единстве содержания и формы;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дальнейшее совершенствование грамотности, т.е. более полное овладение нормами современного русского литературного языка, чему способствует осмысление теории и овладение практическими умениями и навыками анализа морфологических единиц в семантическом и формально-структурном аспектах;</w:t>
            </w:r>
          </w:p>
        </w:tc>
      </w:tr>
      <w:tr>
        <w:trPr>
          <w:trHeight w:hRule="exact" w:val="946.97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3)формирование научного лингвистического мышления студентов, способствующего осознанному восприятию системности каждого языкового уровня и места трудных случаев морфологического анализа  в многоуровневой системе языка, а также изучению современных научных достижений в теории и практике направления «Трудные случаи морфологического анализа».</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7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Осуществлять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1.Иметь навык осуществления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Трудные случаи анализа самостоятельных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Л1.1 Л1.2Л2.4 Л2.3 Л2.2 Л2.1Л3.4 Л3.3 Л3.2 Л3.1</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Л1.1 Л1.2Л2.4 Л2.3 Л2.2 Л2.1Л3.4 Л3.3 Л3.2 Л3.1</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Л1.1 Л1.2Л2.3 Л2.2 Л2.1Л3.4 Л3.3 Л3.2 Л3.1</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Л1.1 Л1.2Л2.4 Л2.3 Л2.2 Л2.1Л3.4 Л3.3 Л3.2 Л3.1</w:t>
            </w:r>
          </w:p>
          <w:p>
            <w:pPr>
              <w:jc w:val="center"/>
              <w:spacing w:after="0" w:line="240" w:lineRule="auto"/>
              <w:rPr>
                <w:sz w:val="19"/>
                <w:szCs w:val="19"/>
              </w:rPr>
            </w:pPr>
            <w:r>
              <w:rPr>
                <w:rFonts w:ascii="Times New Roman" w:hAnsi="Times New Roman" w:cs="Times New Roman"/>
                <w:color w:val="#000000"/>
                <w:sz w:val="19"/>
                <w:szCs w:val="19"/>
              </w:rPr>
              <w:t>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Л1.1 Л1.2Л2.4 Л2.3 Л2.2 Л2.1Л3.4 Л3.3 Л3.2 Л3.1</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Л1.1 Л1.2Л2.4 Л2.3 Л2.2 Л2.1Л3.4 Л3.3 Л3.2 Л3.1</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Л1.1 Л1.2Л2.4 Л2.3 Л2.1Л3.4 Л3.3 Л3.2 Л3.1</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Л1.1 Л1.2Л2.4 Л2.3 Л2.1Л3.4 Л3.2 Л3.1</w:t>
            </w:r>
          </w:p>
          <w:p>
            <w:pPr>
              <w:jc w:val="center"/>
              <w:spacing w:after="0" w:line="240" w:lineRule="auto"/>
              <w:rPr>
                <w:sz w:val="19"/>
                <w:szCs w:val="19"/>
              </w:rPr>
            </w:pPr>
            <w:r>
              <w:rPr>
                <w:rFonts w:ascii="Times New Roman" w:hAnsi="Times New Roman" w:cs="Times New Roman"/>
                <w:color w:val="#000000"/>
                <w:sz w:val="19"/>
                <w:szCs w:val="19"/>
              </w:rPr>
              <w:t> Э3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Л1.2Л2.4 Л2.3 Л2.2 Л2.1Л3.3 Л3.2 Л3.1</w:t>
            </w:r>
          </w:p>
          <w:p>
            <w:pPr>
              <w:jc w:val="center"/>
              <w:spacing w:after="0" w:line="240" w:lineRule="auto"/>
              <w:rPr>
                <w:sz w:val="19"/>
                <w:szCs w:val="19"/>
              </w:rPr>
            </w:pPr>
            <w:r>
              <w:rPr>
                <w:rFonts w:ascii="Times New Roman" w:hAnsi="Times New Roman" w:cs="Times New Roman"/>
                <w:color w:val="#000000"/>
                <w:sz w:val="19"/>
                <w:szCs w:val="19"/>
              </w:rPr>
              <w:t> Э2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Л1.1 Л1.2Л2.4 Л2.3 Л2.1Л3.3 Л3.2 Л3.1</w:t>
            </w:r>
          </w:p>
          <w:p>
            <w:pPr>
              <w:jc w:val="center"/>
              <w:spacing w:after="0" w:line="240" w:lineRule="auto"/>
              <w:rPr>
                <w:sz w:val="19"/>
                <w:szCs w:val="19"/>
              </w:rPr>
            </w:pPr>
            <w:r>
              <w:rPr>
                <w:rFonts w:ascii="Times New Roman" w:hAnsi="Times New Roman" w:cs="Times New Roman"/>
                <w:color w:val="#000000"/>
                <w:sz w:val="19"/>
                <w:szCs w:val="19"/>
              </w:rPr>
              <w:t> Э3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Л1.1 Л1.2Л2.4 Л2.3 Л2.2 Л2.1Л3.4 Л3.3 Л3.2</w:t>
            </w:r>
          </w:p>
          <w:p>
            <w:pPr>
              <w:jc w:val="center"/>
              <w:spacing w:after="0" w:line="240" w:lineRule="auto"/>
              <w:rPr>
                <w:sz w:val="19"/>
                <w:szCs w:val="19"/>
              </w:rPr>
            </w:pPr>
            <w:r>
              <w:rPr>
                <w:rFonts w:ascii="Times New Roman" w:hAnsi="Times New Roman" w:cs="Times New Roman"/>
                <w:color w:val="#000000"/>
                <w:sz w:val="19"/>
                <w:szCs w:val="19"/>
              </w:rPr>
              <w:t> Э2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Л1.1Л2.4 Л2.3 Л2.2 Л2.1Л3.4 Л3.3 Л3.2 Л3.1</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Глагол.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Глагол как часть речи.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Л1.1 Л1.2Л2.4 Л2.3 Л2.2Л3.4 Л3.3 Л3.2</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Глагол.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Глагол как часть речи.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Л1.1 Л1.2Л2.3 Л2.2 Л2.1Л3.4 Л3.3 Л3.2 Л3.1</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Л1.1 Л1.2Л2.3 Л2.2 Л2.1Л3.4 Л3.3 Л3.1</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Л1.1 Л1.2Л2.4 Л2.3 Л2.2 Л2.1Л3.4 Л3.3 Л3.1</w:t>
            </w:r>
          </w:p>
          <w:p>
            <w:pPr>
              <w:jc w:val="center"/>
              <w:spacing w:after="0" w:line="240" w:lineRule="auto"/>
              <w:rPr>
                <w:sz w:val="19"/>
                <w:szCs w:val="19"/>
              </w:rPr>
            </w:pPr>
            <w:r>
              <w:rPr>
                <w:rFonts w:ascii="Times New Roman" w:hAnsi="Times New Roman" w:cs="Times New Roman"/>
                <w:color w:val="#000000"/>
                <w:sz w:val="19"/>
                <w:szCs w:val="19"/>
              </w:rPr>
              <w:t> Э2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Л1.1Л2.4 Л2.3 Л2.2 Л2.1Л3.4 Л3.3 Л3.2 Л3.1</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Л1.1 Л1.2Л2.4 Л2.3 Л2.2 Л2.1Л3.4 Л3.3 Л3.2</w:t>
            </w:r>
          </w:p>
          <w:p>
            <w:pPr>
              <w:jc w:val="center"/>
              <w:spacing w:after="0" w:line="240" w:lineRule="auto"/>
              <w:rPr>
                <w:sz w:val="19"/>
                <w:szCs w:val="19"/>
              </w:rPr>
            </w:pPr>
            <w:r>
              <w:rPr>
                <w:rFonts w:ascii="Times New Roman" w:hAnsi="Times New Roman" w:cs="Times New Roman"/>
                <w:color w:val="#000000"/>
                <w:sz w:val="19"/>
                <w:szCs w:val="19"/>
              </w:rPr>
              <w:t> Э3 Э4 Э5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Переходные и непереходные глаголы. Семантические особенности переходных и непереходных глаголов. Грамматические показатели переходности/непереходности. Косвенно-переходные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Л1.3Л2.4 Л2.3 Л2.2 Л2.1Л3.4 Л3.3 Л3.2</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Возвратные глаголы. Роль постфикса -ся (грамматическая роль постфикса -ся, словообразующая роль постфикса -ся; утрата грамматических и словообразующих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Л1.1 Л1.2Л2.3 Л2.2 Л2.1Л3.4 Л3.3 Л3.2 Л3.1</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Л1.1 Л1.2Л2.4 Л2.3 Л2.2 Л2.1Л3.4 Л3.3 Л3.2 Л3.1</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Л1.3Л2.4 Л2.3 Л2.2 Л2.1Л3.4 Л3.3 Л3.2 Л3.1</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наклонения. Категория наклонения. Значение форм наклонения (понятие об объективной модальности). Противопоставленность изъявительного наклонения повелительному и сослагательному. Образование форм повелительного  и сослагательного наклонений. Употребление одних форм наклонений в значении других.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Л1.1 Л1.2Л2.4 Л2.3 Л2.2 Л2.1Л3.4 Л3.3 Л3.2 Л3.1</w:t>
            </w:r>
          </w:p>
          <w:p>
            <w:pPr>
              <w:jc w:val="center"/>
              <w:spacing w:after="0" w:line="240" w:lineRule="auto"/>
              <w:rPr>
                <w:sz w:val="19"/>
                <w:szCs w:val="19"/>
              </w:rPr>
            </w:pPr>
            <w:r>
              <w:rPr>
                <w:rFonts w:ascii="Times New Roman" w:hAnsi="Times New Roman" w:cs="Times New Roman"/>
                <w:color w:val="#000000"/>
                <w:sz w:val="19"/>
                <w:szCs w:val="19"/>
              </w:rPr>
              <w:t> Э2 Э3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времени.  Типы противопоставлений внутри системы временных форм глагола. Абсолютное и относительное значение  временных форм. Употребление форм одного времени в значении другого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Л1.2Л2.4 Л2.3 Л2.2 Л2.1Л3.4 Л3.3 Л3.2 Л3.1</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Л1.1Л2.4 Л2.3 Л2.2 Л2.1Л3.4 Л3.3 Л3.2 Л3.1</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Л1.1 Л1.2Л2.4 Л2.3 Л2.2 Л2.1Л3.4 Л3.3 Л3.2 Л3.1</w:t>
            </w:r>
          </w:p>
          <w:p>
            <w:pPr>
              <w:jc w:val="center"/>
              <w:spacing w:after="0" w:line="240" w:lineRule="auto"/>
              <w:rPr>
                <w:sz w:val="19"/>
                <w:szCs w:val="19"/>
              </w:rPr>
            </w:pPr>
            <w:r>
              <w:rPr>
                <w:rFonts w:ascii="Times New Roman" w:hAnsi="Times New Roman" w:cs="Times New Roman"/>
                <w:color w:val="#000000"/>
                <w:sz w:val="19"/>
                <w:szCs w:val="19"/>
              </w:rPr>
              <w:t> Э2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ДЕЕПРИЧАСТИЕ. Трудные случаи анализа. Вид деепричастия. Значение относительного времени деепричастия. Норма употребления деепричастия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Л1.2Л2.4 Л2.3 Л2.2Л3.4 Л3.3 Л3.2 Л3.1</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ДЕЕПРИЧАСТИЕ. Трудные случаи анализа. Вид деепричастия. Значение относительного времени деепричастия. Норма употребления деепричастия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Л1.1Л2.4 Л2.3 Л2.2Л3.4 Л3.3 Л3.2 Л3.1</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Семантика, образование, синтаксические функции наречий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Л1.1Л2.4 Л2.3 Л2.2 Л2.1Л3.4 Л3.3 Л3.1</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Семантика, образование, синтаксические функции наречий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Л1.1Л2.4 Л2.3 Л2.2Л3.4 Л3.3 Л3.2 Л3.1</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 КАТЕГОРИИ СОСТОЯНИЯ. Трудные случаи анализа. Семантика, деривационные связи, синтаксические функции слов категории состояния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Л1.1 Л1.2Л2.3 Л2.2 Л2.1Л3.4 Л3.3 Л3.2 Л3.1</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Трудные случаи анализа  модальных слов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Л1.2Л2.4 Л2.3 Л2.2 Л2.1Л3.3 Л3.2 Л3.1</w:t>
            </w:r>
          </w:p>
          <w:p>
            <w:pPr>
              <w:jc w:val="center"/>
              <w:spacing w:after="0" w:line="240" w:lineRule="auto"/>
              <w:rPr>
                <w:sz w:val="19"/>
                <w:szCs w:val="19"/>
              </w:rPr>
            </w:pPr>
            <w:r>
              <w:rPr>
                <w:rFonts w:ascii="Times New Roman" w:hAnsi="Times New Roman" w:cs="Times New Roman"/>
                <w:color w:val="#000000"/>
                <w:sz w:val="19"/>
                <w:szCs w:val="19"/>
              </w:rPr>
              <w:t> Э1 Э2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Л1.1 Л1.2Л2.4 Л2.3 Л2.2Л3.4 Л3.3 Л3.2</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Трудные случаи анализа  междометий и звукоподражаний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Л1.1Л2.3 Л2.2 Л2.1Л3.4 Л3.3 Л3.2 Л3.1</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Л1.2Л2.3 Л2.2 Л2.1Л3.4 Л3.3 Л3.2</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416.74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Трудные случаи анализа служебных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Л1.1Л2.3 Л2.2 Л2.1Л3.4 Л3.3 Л3.2 Л3.1</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Л1.1 Л1.2Л2.4 Л2.3 Л2.2 Л2.1Л3.4 Л3.3 Л3.2 Л3.1</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Л1.1Л2.3 Л2.2 Л2.1Л3.4 Л3.3 Л3.2 Л3.1</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Л1.3Л2.4 Л2.3 Л2.2Л3.4 Л3.3 Л3.1</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часть речи. Разряды частиц по значению. Строение частиц. Связь частиц с другими частями речи. Семантика, происхождение, употребление частиц.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Л1.1 Л1.2Л2.3 Л2.2 Л2.1Л3.4 Л3.3 Л3.2 Л3.1</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 Лилия Дмитриевна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Теория. Анализ языковых единиц. В 2-х ч.: Учеб. для студентов высш. учеб. заведений./ Под ред. Е.И. Дибровой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7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150</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Ремчукова, Елена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современного русского языка. Категория вида глагола: учеб. пособие для студентов вузов,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 Глянцева Т. Н., Лившиц Т. Н., Нарушевич А. Г., Голубева И. В., Чернега Л. В., Лыков А. В., Ваганова А. К., Бертякова А. Н., Цыплакова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 Кузнецова М. И., Петленко Л. В., Романова В.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[В 3 ч.]/ [Под ред. П.П. Шубы]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Плопресс,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Анализ языковых единиц: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w:t>
            </w:r>
          </w:p>
        </w:tc>
      </w:tr>
      <w:tr>
        <w:trPr>
          <w:trHeight w:hRule="exact" w:val="848.189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Словообразование. Морфонология. Морфология/ Шуба П.П., Волынец Т.В., Германович И.К. и др.: [В 3 ч.]/ [Под ред. П.П. Шубы]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Плопресс,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 ред. Е.И. Дибровой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Чеснокова Л.Д., Печникова В.С.: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http://www.slovari.ru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http://www.rusforus.ru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http://www.russian.slavica.org</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http://www.ruscorpora.ru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специализированной учебной мебелью и техническими средствами обучения. Для проведения лекционных занятий используется</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2021-2022_44_03_05_17-21-1-РЯЛ_plx_Трудные случаи морфологического анализа</dc:title>
  <dc:creator>FastReport.NET</dc:creator>
</cp:coreProperties>
</file>