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Служебные части речи в вузе и школе</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 3/6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Липовая Оксана Алексеевна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наиболее глубокое и полное осмысление и расширение теоретических знаний студентов о служебных частях речи, междометиях, звукоподражаниях как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	</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алгоритмы и технологии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приемы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предметные методики и современные технологии по русскому языку;</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проектироватьпредметную среду образовательной программы по русскому языку;</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основами специальных научных знаний в сфере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алгоритмами и технологиями осуществления профессиональной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 приемами педагогической рефлексии;</w:t>
            </w:r>
          </w:p>
          <w:p>
            <w:pPr>
              <w:jc w:val="left"/>
              <w:spacing w:after="0" w:line="240" w:lineRule="auto"/>
              <w:rPr>
                <w:sz w:val="19"/>
                <w:szCs w:val="19"/>
              </w:rPr>
            </w:pPr>
            <w:r>
              <w:rPr>
                <w:rFonts w:ascii="Times New Roman" w:hAnsi="Times New Roman" w:cs="Times New Roman"/>
                <w:color w:val="#000000"/>
                <w:sz w:val="19"/>
                <w:szCs w:val="19"/>
              </w:rPr>
              <w:t> -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9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Служебные части речи, междометия, звукоподражания и их место в системе частей речи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служебных частей речи, междометий и звукоподражаний. Их разряды и функции. Отечественные лингвисты о служебных частях речи, междометиях и звукоподражаниях. Признаки, отличающие служебные части речи, междометия, звукоподражания от знаменательных частей речи. Вопрос о месте междометий и звукоподражаний в системе частей речи. Изучение служебных частей речи, междометий и звукоподражаний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и звукоподражания в трудах классиков отечественной лингвистики.</w:t>
            </w:r>
          </w:p>
          <w:p>
            <w:pPr>
              <w:jc w:val="left"/>
              <w:spacing w:after="0" w:line="240" w:lineRule="auto"/>
              <w:rPr>
                <w:sz w:val="19"/>
                <w:szCs w:val="19"/>
              </w:rPr>
            </w:pPr>
            <w:r>
              <w:rPr>
                <w:rFonts w:ascii="Times New Roman" w:hAnsi="Times New Roman" w:cs="Times New Roman"/>
                <w:color w:val="#000000"/>
                <w:sz w:val="19"/>
                <w:szCs w:val="19"/>
              </w:rPr>
              <w:t> Служебные части речи, их разряды и функции.Отечественные лингвисты о служебных частях речи, междометиях и звукоподражаниях. Взгляд Ф.И. Буслаева на служебные части речи. Взгляд В.В. Виноградова на служебные части речи. Взгляд А.А.Шахматова на служебные части речи. Взгляд А.М.Пешковского на служебные части речи. Взгляд А.Н.Гвоздева на служебные части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Дифференцирующие признаки служебных частей речи, междометий и звукоподражаний (вуз и школа). Общая характеристика служебных частей речи, междометий и звукоподражательных слов. Признаки, отличающие служебные части речи, междометия, звукоподражания от знаменательных частей речи. Изучение служебных частей речи, междометий и звукоподражаний в школе. Вопрос о месте междометий и звукоподражаний в системе частей речи.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Служебные части речи, междометия, звукоподражания и их место в системе частей речи русского языка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Предлог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Строение  предлогов. Предлоги  элементарной и неэлементарной структуры. Семантические и синтаксические свойства предлогов. Предлоги и падежи. Полисемия, синонимия и антонимия предлогов. Роль контекста в выявлении значения предлога. Правописание предлогов. Изучение предлога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предлогов. Предлоги элементарной и неэлементарной структуры. Семантические и синтаксические свойства предлогов. Строение предлогов</w:t>
            </w:r>
          </w:p>
          <w:p>
            <w:pPr>
              <w:jc w:val="left"/>
              <w:spacing w:after="0" w:line="240" w:lineRule="auto"/>
              <w:rPr>
                <w:sz w:val="19"/>
                <w:szCs w:val="19"/>
              </w:rPr>
            </w:pPr>
            <w:r>
              <w:rPr>
                <w:rFonts w:ascii="Times New Roman" w:hAnsi="Times New Roman" w:cs="Times New Roman"/>
                <w:color w:val="#000000"/>
                <w:sz w:val="19"/>
                <w:szCs w:val="19"/>
              </w:rPr>
              <w:t> Предлоги элементарной и неэлементарной структуры.</w:t>
            </w:r>
          </w:p>
          <w:p>
            <w:pPr>
              <w:jc w:val="left"/>
              <w:spacing w:after="0" w:line="240" w:lineRule="auto"/>
              <w:rPr>
                <w:sz w:val="19"/>
                <w:szCs w:val="19"/>
              </w:rPr>
            </w:pPr>
            <w:r>
              <w:rPr>
                <w:rFonts w:ascii="Times New Roman" w:hAnsi="Times New Roman" w:cs="Times New Roman"/>
                <w:color w:val="#000000"/>
                <w:sz w:val="19"/>
                <w:szCs w:val="19"/>
              </w:rPr>
              <w:t> Семантические и синтаксические свойства предлогов. Изучение предлога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предлогов.Предлоги и падежи.</w:t>
            </w:r>
          </w:p>
          <w:p>
            <w:pPr>
              <w:jc w:val="left"/>
              <w:spacing w:after="0" w:line="240" w:lineRule="auto"/>
              <w:rPr>
                <w:sz w:val="19"/>
                <w:szCs w:val="19"/>
              </w:rPr>
            </w:pPr>
            <w:r>
              <w:rPr>
                <w:rFonts w:ascii="Times New Roman" w:hAnsi="Times New Roman" w:cs="Times New Roman"/>
                <w:color w:val="#000000"/>
                <w:sz w:val="19"/>
                <w:szCs w:val="19"/>
              </w:rPr>
              <w:t> Полисемия, синонимия и антонимия предлогов.Роль контекста в выявлении значения предлога.</w:t>
            </w:r>
          </w:p>
          <w:p>
            <w:pPr>
              <w:jc w:val="left"/>
              <w:spacing w:after="0" w:line="240" w:lineRule="auto"/>
              <w:rPr>
                <w:sz w:val="19"/>
                <w:szCs w:val="19"/>
              </w:rPr>
            </w:pPr>
            <w:r>
              <w:rPr>
                <w:rFonts w:ascii="Times New Roman" w:hAnsi="Times New Roman" w:cs="Times New Roman"/>
                <w:color w:val="#000000"/>
                <w:sz w:val="19"/>
                <w:szCs w:val="19"/>
              </w:rPr>
              <w:t> Правописание предлогов.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Л1.3Л2.1</w:t>
            </w:r>
          </w:p>
        </w:tc>
      </w:tr>
      <w:tr>
        <w:trPr>
          <w:trHeight w:hRule="exact" w:val="1137.3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«Предлог» в школьных УМК.</w:t>
            </w:r>
          </w:p>
          <w:p>
            <w:pPr>
              <w:jc w:val="left"/>
              <w:spacing w:after="0" w:line="240" w:lineRule="auto"/>
              <w:rPr>
                <w:sz w:val="19"/>
                <w:szCs w:val="19"/>
              </w:rPr>
            </w:pPr>
            <w:r>
              <w:rPr>
                <w:rFonts w:ascii="Times New Roman" w:hAnsi="Times New Roman" w:cs="Times New Roman"/>
                <w:color w:val="#000000"/>
                <w:sz w:val="19"/>
                <w:szCs w:val="19"/>
              </w:rPr>
              <w:t> Специфика изучения предлога в школе и вузе.</w:t>
            </w:r>
          </w:p>
          <w:p>
            <w:pPr>
              <w:jc w:val="left"/>
              <w:spacing w:after="0" w:line="240" w:lineRule="auto"/>
              <w:rPr>
                <w:sz w:val="19"/>
                <w:szCs w:val="19"/>
              </w:rPr>
            </w:pPr>
            <w:r>
              <w:rPr>
                <w:rFonts w:ascii="Times New Roman" w:hAnsi="Times New Roman" w:cs="Times New Roman"/>
                <w:color w:val="#000000"/>
                <w:sz w:val="19"/>
                <w:szCs w:val="19"/>
              </w:rPr>
              <w:t> Тема «Предлог» в УМК Т.А.Ладыженской.</w:t>
            </w:r>
          </w:p>
          <w:p>
            <w:pPr>
              <w:jc w:val="left"/>
              <w:spacing w:after="0" w:line="240" w:lineRule="auto"/>
              <w:rPr>
                <w:sz w:val="19"/>
                <w:szCs w:val="19"/>
              </w:rPr>
            </w:pPr>
            <w:r>
              <w:rPr>
                <w:rFonts w:ascii="Times New Roman" w:hAnsi="Times New Roman" w:cs="Times New Roman"/>
                <w:color w:val="#000000"/>
                <w:sz w:val="19"/>
                <w:szCs w:val="19"/>
              </w:rPr>
              <w:t> Тема «Предлог» в УМК М.М.Разумовской.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Предлоги и падежи. Полисемия, синонимия и антонимия предлогов. Роль контекста в выявлении семантики предлога. Правописание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Л1.4Л2.1</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Союз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союза. Его функции и специфика как связующего средства по сравнению с предлогом. Структура союзов. Союзы одноместные и неодноместные. Союзы семантические и асемантические. Корреляты  и конкретизаторы. Аналоги союзов. Союзы и союзные слова. Синонимия и многозначность союзов. Правописание союзов. Классификация союзов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Общая характеристика союза. Функции и специфика союза как связующего средства по сравнению с предлогом. Структура союзов. Союзы одноместные и неодноместные. Корреляты и конкретизаторы. Аналоги союзов. Союзы и союзные слова.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Синонимия и многозначность союзов. Правописание союзов. Классификация союзов в различных школьных учебных комплексах. Союзы семантические и асемантические. Синонимия и многозначность союзов. Правописание союзов. Классификация союзов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структура и семантика союзов. Корреляты и конкретизаторы. Аналоги союзов. Союзы и союзные слова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Частицы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Строение частиц. Разряды частиц по функции и значению. Образование частиц. Разграничение частиц и омонимичных частей речи. Частицы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частиц.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Частицы как служебная часть речи. Общая характеристика.</w:t>
            </w:r>
          </w:p>
          <w:p>
            <w:pPr>
              <w:jc w:val="left"/>
              <w:spacing w:after="0" w:line="240" w:lineRule="auto"/>
              <w:rPr>
                <w:sz w:val="19"/>
                <w:szCs w:val="19"/>
              </w:rPr>
            </w:pPr>
            <w:r>
              <w:rPr>
                <w:rFonts w:ascii="Times New Roman" w:hAnsi="Times New Roman" w:cs="Times New Roman"/>
                <w:color w:val="#000000"/>
                <w:sz w:val="19"/>
                <w:szCs w:val="19"/>
              </w:rPr>
              <w:t> Строение частиц.</w:t>
            </w:r>
          </w:p>
          <w:p>
            <w:pPr>
              <w:jc w:val="left"/>
              <w:spacing w:after="0" w:line="240" w:lineRule="auto"/>
              <w:rPr>
                <w:sz w:val="19"/>
                <w:szCs w:val="19"/>
              </w:rPr>
            </w:pPr>
            <w:r>
              <w:rPr>
                <w:rFonts w:ascii="Times New Roman" w:hAnsi="Times New Roman" w:cs="Times New Roman"/>
                <w:color w:val="#000000"/>
                <w:sz w:val="19"/>
                <w:szCs w:val="19"/>
              </w:rPr>
              <w:t> Разряды частиц по функции и значению</w:t>
            </w:r>
          </w:p>
          <w:p>
            <w:pPr>
              <w:jc w:val="left"/>
              <w:spacing w:after="0" w:line="240" w:lineRule="auto"/>
              <w:rPr>
                <w:sz w:val="19"/>
                <w:szCs w:val="19"/>
              </w:rPr>
            </w:pPr>
            <w:r>
              <w:rPr>
                <w:rFonts w:ascii="Times New Roman" w:hAnsi="Times New Roman" w:cs="Times New Roman"/>
                <w:color w:val="#000000"/>
                <w:sz w:val="19"/>
                <w:szCs w:val="19"/>
              </w:rPr>
              <w:t> Различные подходы к изучению частиц в школе и вузе.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Образование частиц.</w:t>
            </w:r>
          </w:p>
          <w:p>
            <w:pPr>
              <w:jc w:val="left"/>
              <w:spacing w:after="0" w:line="240" w:lineRule="auto"/>
              <w:rPr>
                <w:sz w:val="19"/>
                <w:szCs w:val="19"/>
              </w:rPr>
            </w:pPr>
            <w:r>
              <w:rPr>
                <w:rFonts w:ascii="Times New Roman" w:hAnsi="Times New Roman" w:cs="Times New Roman"/>
                <w:color w:val="#000000"/>
                <w:sz w:val="19"/>
                <w:szCs w:val="19"/>
              </w:rPr>
              <w:t> Разграничение частиц и омонимичных частей речи</w:t>
            </w:r>
          </w:p>
          <w:p>
            <w:pPr>
              <w:jc w:val="left"/>
              <w:spacing w:after="0" w:line="240" w:lineRule="auto"/>
              <w:rPr>
                <w:sz w:val="19"/>
                <w:szCs w:val="19"/>
              </w:rPr>
            </w:pPr>
            <w:r>
              <w:rPr>
                <w:rFonts w:ascii="Times New Roman" w:hAnsi="Times New Roman" w:cs="Times New Roman"/>
                <w:color w:val="#000000"/>
                <w:sz w:val="19"/>
                <w:szCs w:val="19"/>
              </w:rPr>
              <w:t> Роль частиц в устной и письменной речи.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«Частицы» в школьных УМК.</w:t>
            </w:r>
          </w:p>
          <w:p>
            <w:pPr>
              <w:jc w:val="left"/>
              <w:spacing w:after="0" w:line="240" w:lineRule="auto"/>
              <w:rPr>
                <w:sz w:val="19"/>
                <w:szCs w:val="19"/>
              </w:rPr>
            </w:pPr>
            <w:r>
              <w:rPr>
                <w:rFonts w:ascii="Times New Roman" w:hAnsi="Times New Roman" w:cs="Times New Roman"/>
                <w:color w:val="#000000"/>
                <w:sz w:val="19"/>
                <w:szCs w:val="19"/>
              </w:rPr>
              <w:t> Изучение частиц в УМК Т.А. Ладыженской. Изучение частиц в УМК М.М. Разумовской. Сравнительный анализ изучения частиц в различных школьных УМК.</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частиц. Разграничение частиц и омонимичных частей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Междометия и звукоподражания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как класс неизменяемых слов. Структура междометий. Семантические разряды междометий. Функции междометий в тексте. Вопрос о так называемых глагольных междометиях.Звукоподражания. Их семантика и синтаксические особенности. Междометия и звукоподражания в школе.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как класс неизменяемых слов. Их структура, семантика и синтаксические особенности. Тема «Междометия и звукоподражания» в школьных учебниках.</w:t>
            </w:r>
          </w:p>
          <w:p>
            <w:pPr>
              <w:jc w:val="left"/>
              <w:spacing w:after="0" w:line="240" w:lineRule="auto"/>
              <w:rPr>
                <w:sz w:val="19"/>
                <w:szCs w:val="19"/>
              </w:rPr>
            </w:pPr>
            <w:r>
              <w:rPr>
                <w:rFonts w:ascii="Times New Roman" w:hAnsi="Times New Roman" w:cs="Times New Roman"/>
                <w:color w:val="#000000"/>
                <w:sz w:val="19"/>
                <w:szCs w:val="19"/>
              </w:rPr>
              <w:t> Структура междометий.</w:t>
            </w:r>
          </w:p>
          <w:p>
            <w:pPr>
              <w:jc w:val="left"/>
              <w:spacing w:after="0" w:line="240" w:lineRule="auto"/>
              <w:rPr>
                <w:sz w:val="19"/>
                <w:szCs w:val="19"/>
              </w:rPr>
            </w:pPr>
            <w:r>
              <w:rPr>
                <w:rFonts w:ascii="Times New Roman" w:hAnsi="Times New Roman" w:cs="Times New Roman"/>
                <w:color w:val="#000000"/>
                <w:sz w:val="19"/>
                <w:szCs w:val="19"/>
              </w:rPr>
              <w:t> Семантические разряды междометий.</w:t>
            </w:r>
          </w:p>
          <w:p>
            <w:pPr>
              <w:jc w:val="left"/>
              <w:spacing w:after="0" w:line="240" w:lineRule="auto"/>
              <w:rPr>
                <w:sz w:val="19"/>
                <w:szCs w:val="19"/>
              </w:rPr>
            </w:pPr>
            <w:r>
              <w:rPr>
                <w:rFonts w:ascii="Times New Roman" w:hAnsi="Times New Roman" w:cs="Times New Roman"/>
                <w:color w:val="#000000"/>
                <w:sz w:val="19"/>
                <w:szCs w:val="19"/>
              </w:rPr>
              <w:t> Функции междометий в тексте. Вопрос о так называемых глагольных междометиях.</w:t>
            </w:r>
          </w:p>
          <w:p>
            <w:pPr>
              <w:jc w:val="left"/>
              <w:spacing w:after="0" w:line="240" w:lineRule="auto"/>
              <w:rPr>
                <w:sz w:val="19"/>
                <w:szCs w:val="19"/>
              </w:rPr>
            </w:pPr>
            <w:r>
              <w:rPr>
                <w:rFonts w:ascii="Times New Roman" w:hAnsi="Times New Roman" w:cs="Times New Roman"/>
                <w:color w:val="#000000"/>
                <w:sz w:val="19"/>
                <w:szCs w:val="19"/>
              </w:rPr>
              <w:t> Семантика и синтаксические особенности звукоподражаний.</w:t>
            </w:r>
          </w:p>
          <w:p>
            <w:pPr>
              <w:jc w:val="left"/>
              <w:spacing w:after="0" w:line="240" w:lineRule="auto"/>
              <w:rPr>
                <w:sz w:val="19"/>
                <w:szCs w:val="19"/>
              </w:rPr>
            </w:pPr>
            <w:r>
              <w:rPr>
                <w:rFonts w:ascii="Times New Roman" w:hAnsi="Times New Roman" w:cs="Times New Roman"/>
                <w:color w:val="#000000"/>
                <w:sz w:val="19"/>
                <w:szCs w:val="19"/>
              </w:rPr>
              <w:t> Междометия и звукоподражания в школе.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«Междометия и звукоподражания» в школьных учебниках.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зачету/Зачет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Л1.1 Л1.2 Л1.3 Л1.4Л2.1 Л2.2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Морозова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page=book&amp;id=278340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Соколова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Глазов: Глазовский государственный педагогический институт (ГГПИ),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page=book&amp;id=458747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Белик Н. А., Гринкевич Е. В., Марченко Л. В., Шейко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(глагол, наречие, служебные части речи):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page=book&amp;id=461567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Бальмонт К.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pl1_cid=25&amp;pl1_id=347 82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Морфология: практикум: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page=book&amp;id=275971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Богачев, Юрий Павлович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с основами языкознания: учеб. для студентов дефектолог. фак.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92</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Информационно-справочный портал «Русский язык»: 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Национальный корпус русского языка: www.ruscorpora.ru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Русский филологический портал: www. philology.ru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606.26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Специальные помещения  представляют собой учебные аудитории для проведения занятий лекционного типа, занятий семинарского типа,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лекционных занятий используется демонстрационное оборудование. Лабораторные занятия проводятся в компьтерных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2020-2021_44_03_05_17-20-1-РЯЛ_plx_Служебные части речи в вузе и школе</dc:title>
  <dc:creator>FastReport.NET</dc:creator>
</cp:coreProperties>
</file>