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Проектно-исследовательская деятельность обучающихся  на уроках литературы в школе</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44.03.05.17 Русский язык и Литература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371"/>
        <w:gridCol w:w="405"/>
        <w:gridCol w:w="371"/>
        <w:gridCol w:w="992"/>
        <w:gridCol w:w="1276"/>
        <w:gridCol w:w="3827"/>
        <w:gridCol w:w="709"/>
        <w:gridCol w:w="284"/>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44.03.05.17-19-2-РЯЛ.plx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406" w:type="dxa"/>
          </w:tcPr>
          <w:p/>
        </w:tc>
        <w:tc>
          <w:tcPr>
            <w:tcW w:w="372" w:type="dxa"/>
          </w:tcPr>
          <w:p/>
        </w:tc>
        <w:tc>
          <w:tcPr>
            <w:tcW w:w="993"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8"/>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русского языка и литературы</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372" w:type="dxa"/>
          </w:tcPr>
          <w:p/>
        </w:tc>
        <w:tc>
          <w:tcPr>
            <w:tcW w:w="406" w:type="dxa"/>
          </w:tcPr>
          <w:p/>
        </w:tc>
        <w:tc>
          <w:tcPr>
            <w:tcW w:w="372" w:type="dxa"/>
          </w:tcPr>
          <w:p/>
        </w:tc>
        <w:tc>
          <w:tcPr>
            <w:tcW w:w="993"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54.4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790.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10 (5.2)</w:t>
            </w:r>
          </w:p>
        </w:tc>
        <w:tc>
          <w:tcPr>
            <w:tcW w:w="1381.6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790.8"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 5/6</w:t>
            </w:r>
          </w:p>
        </w:tc>
        <w:tc>
          <w:tcPr>
            <w:tcW w:w="1381.6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18</w:t>
            </w: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277" w:type="dxa"/>
          </w:tcPr>
          <w:p/>
        </w:tc>
        <w:tc>
          <w:tcPr>
            <w:tcW w:w="3828" w:type="dxa"/>
          </w:tcPr>
          <w:p/>
        </w:tc>
        <w:tc>
          <w:tcPr>
            <w:tcW w:w="710" w:type="dxa"/>
          </w:tcPr>
          <w:p/>
        </w:tc>
        <w:tc>
          <w:tcPr>
            <w:tcW w:w="285" w:type="dxa"/>
          </w:tcPr>
          <w:p/>
        </w:tc>
      </w:tr>
      <w:tr>
        <w:trPr>
          <w:trHeight w:hRule="exact" w:val="277.8304"/>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419.8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38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010.7"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72</w:t>
            </w:r>
          </w:p>
        </w:tc>
        <w:tc>
          <w:tcPr>
            <w:tcW w:w="1277" w:type="dxa"/>
          </w:tcPr>
          <w:p/>
        </w:tc>
        <w:tc>
          <w:tcPr>
            <w:tcW w:w="3828" w:type="dxa"/>
          </w:tcPr>
          <w:p/>
        </w:tc>
        <w:tc>
          <w:tcPr>
            <w:tcW w:w="710" w:type="dxa"/>
          </w:tcPr>
          <w:p/>
        </w:tc>
        <w:tc>
          <w:tcPr>
            <w:tcW w:w="285" w:type="dxa"/>
          </w:tcPr>
          <w:p/>
        </w:tc>
      </w:tr>
      <w:tr>
        <w:trPr>
          <w:trHeight w:hRule="exact" w:val="508.1791"/>
        </w:trPr>
        <w:tc>
          <w:tcPr>
            <w:tcW w:w="143" w:type="dxa"/>
          </w:tcPr>
          <w:p/>
        </w:tc>
        <w:tc>
          <w:tcPr>
            <w:tcW w:w="1418" w:type="dxa"/>
          </w:tcPr>
          <w:p/>
        </w:tc>
        <w:tc>
          <w:tcPr>
            <w:tcW w:w="285" w:type="dxa"/>
          </w:tcPr>
          <w:p/>
        </w:tc>
        <w:tc>
          <w:tcPr>
            <w:tcW w:w="697" w:type="dxa"/>
          </w:tcPr>
          <w:p/>
        </w:tc>
        <w:tc>
          <w:tcPr>
            <w:tcW w:w="372" w:type="dxa"/>
          </w:tcPr>
          <w:p/>
        </w:tc>
        <w:tc>
          <w:tcPr>
            <w:tcW w:w="406" w:type="dxa"/>
          </w:tcPr>
          <w:p/>
        </w:tc>
        <w:tc>
          <w:tcPr>
            <w:tcW w:w="372" w:type="dxa"/>
          </w:tcPr>
          <w:p/>
        </w:tc>
        <w:tc>
          <w:tcPr>
            <w:tcW w:w="993"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8"/>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372" w:type="dxa"/>
          </w:tcPr>
          <w:p/>
        </w:tc>
        <w:tc>
          <w:tcPr>
            <w:tcW w:w="406" w:type="dxa"/>
          </w:tcPr>
          <w:p/>
        </w:tc>
        <w:tc>
          <w:tcPr>
            <w:tcW w:w="372" w:type="dxa"/>
          </w:tcPr>
          <w:p/>
        </w:tc>
        <w:tc>
          <w:tcPr>
            <w:tcW w:w="993"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1"/>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25.02.2020 протокол № 8.</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филол. наук, Проф., Кондратьева Виктория Викторовна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Нарушевич А. Г.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44.03.05.17-19-2-РЯЛ.plx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Целью дисциплины является совершенствование системы знаний, умений и навыков будущих специалистов по</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эффективной организации исследовательской и проектной деятельности школьников в процессе обучения</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1.3</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литературе; создание условий для получения компетенций, необходимых для осознания социальной значимости</w:t>
            </w:r>
          </w:p>
        </w:tc>
      </w:tr>
      <w:tr>
        <w:trPr>
          <w:trHeight w:hRule="exact" w:val="279.59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1.4</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будущей профессии, мотивации к осуществлению профессиональной деятельности.</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УК-3.1:Демонстрирует способность работать в команде, проявляет лидерские качества и умения</w:t>
            </w:r>
          </w:p>
        </w:tc>
      </w:tr>
      <w:tr>
        <w:trPr>
          <w:trHeight w:hRule="exact" w:val="277.830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УК-3.2:Демонстрирует способность эффективного речевого и социального взаимодействия</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УК-3.3:Демонстрирует навыки работы с институтами и организациями в процессе осуществления социального взаимодействия</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ОПК-8.1:Владеет основами специальных научных знаний в сфере профессиональной деятельности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trPr>
          <w:trHeight w:hRule="exact" w:val="1137.33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ОПК-8.3:Владеть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ПКО-1.1:Владеет средствами ИКТ для использования цифровых сервисов и разработки электронных образовательных ресурсов</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ПКО-1.2:Осуществляет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ПКО-1.3:Использует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ПКО-2.1:Решает педагогические, научно-методические и организационно-управленческие задачи в сфере основного общего и среднего общего образования</w:t>
            </w:r>
          </w:p>
        </w:tc>
      </w:tr>
      <w:tr>
        <w:trPr>
          <w:trHeight w:hRule="exact" w:val="697.808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ПКО-2.2:Осуществляет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ПКО-2.3:Работает с документацией, сопровождающей реализацию обучения и воспитания в общеобразовательной школе</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ПКО-2.4:Проектирует технологии реализации содержания обучения и воспитания в сфере основного общего и среднего общего образования</w:t>
            </w:r>
          </w:p>
        </w:tc>
      </w:tr>
      <w:tr>
        <w:trPr>
          <w:trHeight w:hRule="exact" w:val="697.808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ПКО-2.5:Проектирует результаты обучения в сфере основного общего и среднего общего образования в соответствии с нормативными документами, возраст-ными особенностями обучающихся, целями и задачами образовательного процесса</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ПКО-3.1:Осуществляет обучение учебному предмету на основе использования предметных методик и со-временных образовательных технологий</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ПКО-3.2:Осуществляет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ПКО-3.3:Применяет предметные знания при реализации образовательного процесса</w:t>
            </w:r>
          </w:p>
        </w:tc>
      </w:tr>
      <w:tr>
        <w:trPr>
          <w:trHeight w:hRule="exact" w:val="478.043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ПКО-3.4:Организует деятельность обучающихся, направленную на развитие интереса к учебному предмету в рамках урочной и внеурочной деятельности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ПКО-3.5:Участвует в проектировании предметной среды образовательной программы</w:t>
            </w:r>
          </w:p>
        </w:tc>
      </w:tr>
      <w:tr>
        <w:trPr>
          <w:trHeight w:hRule="exact" w:val="277.829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ПКР-5.1:Применяет предметные полученные знания при проектировании культурно-просветительских программ</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ПКР-5.2:Формирует культурные потребности различных социальных групп</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ПКР-5.3:Реализует культурно-просветительские программы</w:t>
            </w:r>
          </w:p>
        </w:tc>
      </w:tr>
      <w:tr>
        <w:trPr>
          <w:trHeight w:hRule="exact" w:val="277.8295"/>
        </w:trPr>
        <w:tc>
          <w:tcPr>
            <w:tcW w:w="766" w:type="dxa"/>
          </w:tcPr>
          <w:p/>
        </w:tc>
        <w:tc>
          <w:tcPr>
            <w:tcW w:w="3913"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946.97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изучение возможностей, потребностей, достижений учащихся в области образования и проектирование на</w:t>
            </w:r>
          </w:p>
          <w:p>
            <w:pPr>
              <w:jc w:val="left"/>
              <w:spacing w:after="0" w:line="240" w:lineRule="auto"/>
              <w:rPr>
                <w:sz w:val="19"/>
                <w:szCs w:val="19"/>
              </w:rPr>
            </w:pPr>
            <w:r>
              <w:rPr>
                <w:rFonts w:ascii="Times New Roman" w:hAnsi="Times New Roman" w:cs="Times New Roman"/>
                <w:color w:val="#000000"/>
                <w:sz w:val="19"/>
                <w:szCs w:val="19"/>
              </w:rPr>
              <w:t> основе полученных результатов индивидуальных маршрутов их обучения, воспитания, развития;</w:t>
            </w:r>
          </w:p>
          <w:p>
            <w:pPr>
              <w:jc w:val="left"/>
              <w:spacing w:after="0" w:line="240" w:lineRule="auto"/>
              <w:rPr>
                <w:sz w:val="19"/>
                <w:szCs w:val="19"/>
              </w:rPr>
            </w:pPr>
            <w:r>
              <w:rPr>
                <w:rFonts w:ascii="Times New Roman" w:hAnsi="Times New Roman" w:cs="Times New Roman"/>
                <w:color w:val="#000000"/>
                <w:sz w:val="19"/>
                <w:szCs w:val="19"/>
              </w:rPr>
              <w:t> организация обучения и воспитания в сфере образования с использованием технологий,</w:t>
            </w:r>
          </w:p>
          <w:p>
            <w:pPr>
              <w:jc w:val="left"/>
              <w:spacing w:after="0" w:line="240" w:lineRule="auto"/>
              <w:rPr>
                <w:sz w:val="19"/>
                <w:szCs w:val="19"/>
              </w:rPr>
            </w:pPr>
            <w:r>
              <w:rPr>
                <w:rFonts w:ascii="Times New Roman" w:hAnsi="Times New Roman" w:cs="Times New Roman"/>
                <w:color w:val="#000000"/>
                <w:sz w:val="19"/>
                <w:szCs w:val="19"/>
              </w:rPr>
              <w:t> возрастным особенностям учащихся, и отражающих специфику предметной области.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44.03.05.17-19-2-РЯЛ.plx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727.20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использование возможностей образовательной среды для обеспечения качества образования, в том числе с</w:t>
            </w:r>
          </w:p>
          <w:p>
            <w:pPr>
              <w:jc w:val="left"/>
              <w:spacing w:after="0" w:line="240" w:lineRule="auto"/>
              <w:rPr>
                <w:sz w:val="19"/>
                <w:szCs w:val="19"/>
              </w:rPr>
            </w:pPr>
            <w:r>
              <w:rPr>
                <w:rFonts w:ascii="Times New Roman" w:hAnsi="Times New Roman" w:cs="Times New Roman"/>
                <w:color w:val="#000000"/>
                <w:sz w:val="19"/>
                <w:szCs w:val="19"/>
              </w:rPr>
              <w:t> использованием информационных технологий;</w:t>
            </w:r>
          </w:p>
          <w:p>
            <w:pPr>
              <w:jc w:val="left"/>
              <w:spacing w:after="0" w:line="240" w:lineRule="auto"/>
              <w:rPr>
                <w:sz w:val="19"/>
                <w:szCs w:val="19"/>
              </w:rPr>
            </w:pPr>
            <w:r>
              <w:rPr>
                <w:rFonts w:ascii="Times New Roman" w:hAnsi="Times New Roman" w:cs="Times New Roman"/>
                <w:color w:val="#000000"/>
                <w:sz w:val="19"/>
                <w:szCs w:val="19"/>
              </w:rPr>
              <w:t> - осуществление профессионального самообразования и личностного роста.</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946.974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применение педагогического проектирования в процессе организации исследовательской и проектной</w:t>
            </w:r>
          </w:p>
          <w:p>
            <w:pPr>
              <w:jc w:val="left"/>
              <w:spacing w:after="0" w:line="240" w:lineRule="auto"/>
              <w:rPr>
                <w:sz w:val="19"/>
                <w:szCs w:val="19"/>
              </w:rPr>
            </w:pPr>
            <w:r>
              <w:rPr>
                <w:rFonts w:ascii="Times New Roman" w:hAnsi="Times New Roman" w:cs="Times New Roman"/>
                <w:color w:val="#000000"/>
                <w:sz w:val="19"/>
                <w:szCs w:val="19"/>
              </w:rPr>
              <w:t> деятельности школьников по истории;</w:t>
            </w:r>
          </w:p>
          <w:p>
            <w:pPr>
              <w:jc w:val="left"/>
              <w:spacing w:after="0" w:line="240" w:lineRule="auto"/>
              <w:rPr>
                <w:sz w:val="19"/>
                <w:szCs w:val="19"/>
              </w:rPr>
            </w:pPr>
            <w:r>
              <w:rPr>
                <w:rFonts w:ascii="Times New Roman" w:hAnsi="Times New Roman" w:cs="Times New Roman"/>
                <w:color w:val="#000000"/>
                <w:sz w:val="19"/>
                <w:szCs w:val="19"/>
              </w:rPr>
              <w:t> - использование возможностей образовательной среды для реализации целей исследовательской и проектной</w:t>
            </w:r>
          </w:p>
          <w:p>
            <w:pPr>
              <w:jc w:val="left"/>
              <w:spacing w:after="0" w:line="240" w:lineRule="auto"/>
              <w:rPr>
                <w:sz w:val="19"/>
                <w:szCs w:val="19"/>
              </w:rPr>
            </w:pPr>
            <w:r>
              <w:rPr>
                <w:rFonts w:ascii="Times New Roman" w:hAnsi="Times New Roman" w:cs="Times New Roman"/>
                <w:color w:val="#000000"/>
                <w:sz w:val="19"/>
                <w:szCs w:val="19"/>
              </w:rPr>
              <w:t> деятельности школьников во внеклассной работе по истории.</w:t>
            </w:r>
          </w:p>
        </w:tc>
      </w:tr>
      <w:tr>
        <w:trPr>
          <w:trHeight w:hRule="exact" w:val="277.8297"/>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78.044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Проектные технологии как обучения: историко- педагогический 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принципы организации проектно-исследовательской деятельности в школе в соответствии с ФГОС СОО. Место дисциплины в структуре образовательной программы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История «метода проектов»: Дж. Дьюи, И.Г. Ворончихина, М. Кнолль, В.Н.</w:t>
            </w:r>
          </w:p>
          <w:p>
            <w:pPr>
              <w:jc w:val="left"/>
              <w:spacing w:after="0" w:line="240" w:lineRule="auto"/>
              <w:rPr>
                <w:sz w:val="19"/>
                <w:szCs w:val="19"/>
              </w:rPr>
            </w:pPr>
            <w:r>
              <w:rPr>
                <w:rFonts w:ascii="Times New Roman" w:hAnsi="Times New Roman" w:cs="Times New Roman"/>
                <w:color w:val="#000000"/>
                <w:sz w:val="19"/>
                <w:szCs w:val="19"/>
              </w:rPr>
              <w:t> Стернберг и др. Трудовое обучение (К.М. Вудворт, Н.К. Крупская, С.Т. Шацкий). Профессиональное обучение (Н.Е. Эрганова, Г.В.Рогова, Ф.М.Рабинович). Дифференцированное обучение (Н.П. Гузик, Е.А. Юнина, И.Э. Унт). Личностноориентированное обучение (И.С. Якиманская). Педагогика сотрудничества (В.Ф.Шаталов, В.А. Сухомлинский, И.П.Волков, Л.С. Выготский).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Модернизация российского образования. ФГОС и системно- деятельностный подход. Развитие познавательной самостоятельности учащихся. Индивидуализация целей</w:t>
            </w:r>
          </w:p>
          <w:p>
            <w:pPr>
              <w:jc w:val="left"/>
              <w:spacing w:after="0" w:line="240" w:lineRule="auto"/>
              <w:rPr>
                <w:sz w:val="19"/>
                <w:szCs w:val="19"/>
              </w:rPr>
            </w:pPr>
            <w:r>
              <w:rPr>
                <w:rFonts w:ascii="Times New Roman" w:hAnsi="Times New Roman" w:cs="Times New Roman"/>
                <w:color w:val="#000000"/>
                <w:sz w:val="19"/>
                <w:szCs w:val="19"/>
              </w:rPr>
              <w:t> образования на уровне ученика. Специфика предметов обществоведческого цикла.</w:t>
            </w:r>
          </w:p>
          <w:p>
            <w:pPr>
              <w:jc w:val="left"/>
              <w:spacing w:after="0" w:line="240" w:lineRule="auto"/>
              <w:rPr>
                <w:sz w:val="19"/>
                <w:szCs w:val="19"/>
              </w:rPr>
            </w:pPr>
            <w:r>
              <w:rPr>
                <w:rFonts w:ascii="Times New Roman" w:hAnsi="Times New Roman" w:cs="Times New Roman"/>
                <w:color w:val="#000000"/>
                <w:sz w:val="19"/>
                <w:szCs w:val="19"/>
              </w:rPr>
              <w:t> Педагогические условия включения школьников в творческую деятельность, ситуацию поиска путей решения социально – значимых вопросов.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Модернизация российского образования. ФГОС и системно- деятельностный подход. Развитие познавательной самостоятельности учащихся. Индивидуализация целей</w:t>
            </w:r>
          </w:p>
          <w:p>
            <w:pPr>
              <w:jc w:val="left"/>
              <w:spacing w:after="0" w:line="240" w:lineRule="auto"/>
              <w:rPr>
                <w:sz w:val="19"/>
                <w:szCs w:val="19"/>
              </w:rPr>
            </w:pPr>
            <w:r>
              <w:rPr>
                <w:rFonts w:ascii="Times New Roman" w:hAnsi="Times New Roman" w:cs="Times New Roman"/>
                <w:color w:val="#000000"/>
                <w:sz w:val="19"/>
                <w:szCs w:val="19"/>
              </w:rPr>
              <w:t> образования на уровне ученика. Специфика предметов обществоведческого цикла.</w:t>
            </w:r>
          </w:p>
          <w:p>
            <w:pPr>
              <w:jc w:val="left"/>
              <w:spacing w:after="0" w:line="240" w:lineRule="auto"/>
              <w:rPr>
                <w:sz w:val="19"/>
                <w:szCs w:val="19"/>
              </w:rPr>
            </w:pPr>
            <w:r>
              <w:rPr>
                <w:rFonts w:ascii="Times New Roman" w:hAnsi="Times New Roman" w:cs="Times New Roman"/>
                <w:color w:val="#000000"/>
                <w:sz w:val="19"/>
                <w:szCs w:val="19"/>
              </w:rPr>
              <w:t> Педагогические условия включения школьников в творческую деятельность, ситуацию поиска путей решения социально – значимых вопросов.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Содержание, способы и организации исследовательской и проектной деятельности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Традиционный и исследовательский подходы к обучению: сравнительная характеристика. Требования к учителю, реализующему исследователь¬ский подход в обучении.</w:t>
            </w:r>
          </w:p>
          <w:p>
            <w:pPr>
              <w:jc w:val="left"/>
              <w:spacing w:after="0" w:line="240" w:lineRule="auto"/>
              <w:rPr>
                <w:sz w:val="19"/>
                <w:szCs w:val="19"/>
              </w:rPr>
            </w:pPr>
            <w:r>
              <w:rPr>
                <w:rFonts w:ascii="Times New Roman" w:hAnsi="Times New Roman" w:cs="Times New Roman"/>
                <w:color w:val="#000000"/>
                <w:sz w:val="19"/>
                <w:szCs w:val="19"/>
              </w:rPr>
              <w:t> Исследовательская деятельность обучающихся. Проектная деятельность обучающихся. Проектно-исследовательская деятельность. Учебное исследование и научное</w:t>
            </w:r>
          </w:p>
          <w:p>
            <w:pPr>
              <w:jc w:val="left"/>
              <w:spacing w:after="0" w:line="240" w:lineRule="auto"/>
              <w:rPr>
                <w:sz w:val="19"/>
                <w:szCs w:val="19"/>
              </w:rPr>
            </w:pPr>
            <w:r>
              <w:rPr>
                <w:rFonts w:ascii="Times New Roman" w:hAnsi="Times New Roman" w:cs="Times New Roman"/>
                <w:color w:val="#000000"/>
                <w:sz w:val="19"/>
                <w:szCs w:val="19"/>
              </w:rPr>
              <w:t> исследование: сравнительная характеристика.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44.03.05.17-19-2-РЯЛ.plx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исследовательские умения и навыки. Общеучебные умения и навыки, формирующиеся в процессе проектной деятельности:рефлексивные, оценочной</w:t>
            </w:r>
          </w:p>
          <w:p>
            <w:pPr>
              <w:jc w:val="left"/>
              <w:spacing w:after="0" w:line="240" w:lineRule="auto"/>
              <w:rPr>
                <w:sz w:val="19"/>
                <w:szCs w:val="19"/>
              </w:rPr>
            </w:pPr>
            <w:r>
              <w:rPr>
                <w:rFonts w:ascii="Times New Roman" w:hAnsi="Times New Roman" w:cs="Times New Roman"/>
                <w:color w:val="#000000"/>
                <w:sz w:val="19"/>
                <w:szCs w:val="19"/>
              </w:rPr>
              <w:t> деятельности, работы в сотрудничестве, менеджерские,коммуникативные,</w:t>
            </w:r>
          </w:p>
          <w:p>
            <w:pPr>
              <w:jc w:val="left"/>
              <w:spacing w:after="0" w:line="240" w:lineRule="auto"/>
              <w:rPr>
                <w:sz w:val="19"/>
                <w:szCs w:val="19"/>
              </w:rPr>
            </w:pPr>
            <w:r>
              <w:rPr>
                <w:rFonts w:ascii="Times New Roman" w:hAnsi="Times New Roman" w:cs="Times New Roman"/>
                <w:color w:val="#000000"/>
                <w:sz w:val="19"/>
                <w:szCs w:val="19"/>
              </w:rPr>
              <w:t> презентационные.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4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60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7.829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7.830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30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2020-2021_44_03_05_17-19-2-РЯЛ_plx_Проектно-исследовательская деятельность обучающихся  на уроках литературы в школе</dc:title>
  <dc:creator>FastReport.NET</dc:creator>
</cp:coreProperties>
</file>